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b/>
          <w:bCs/>
          <w:sz w:val="44"/>
          <w:szCs w:val="44"/>
        </w:rPr>
      </w:pPr>
    </w:p>
    <w:p>
      <w:pPr>
        <w:spacing w:line="800" w:lineRule="exact"/>
        <w:jc w:val="center"/>
        <w:rPr>
          <w:rFonts w:ascii="宋体"/>
          <w:b/>
          <w:bCs/>
          <w:sz w:val="44"/>
          <w:szCs w:val="44"/>
        </w:rPr>
      </w:pPr>
    </w:p>
    <w:p>
      <w:pPr>
        <w:tabs>
          <w:tab w:val="left" w:pos="50"/>
        </w:tabs>
        <w:spacing w:line="24" w:lineRule="auto"/>
        <w:rPr>
          <w:rFonts w:ascii="仿宋_GB2312" w:hAnsi="宋体" w:eastAsia="仿宋_GB2312"/>
          <w:sz w:val="32"/>
          <w:szCs w:val="32"/>
        </w:rPr>
      </w:pPr>
      <w:r>
        <w:rPr>
          <w:rFonts w:ascii="仿宋_GB2312" w:hAnsi="宋体" w:eastAsia="仿宋_GB2312"/>
          <w:sz w:val="32"/>
          <w:szCs w:val="32"/>
        </w:rPr>
        <w:tab/>
      </w:r>
    </w:p>
    <w:p>
      <w:pPr>
        <w:spacing w:line="579" w:lineRule="exact"/>
        <w:jc w:val="center"/>
        <w:rPr>
          <w:rFonts w:hint="eastAsia" w:eastAsia="仿宋_GB2312"/>
          <w:sz w:val="32"/>
          <w:szCs w:val="32"/>
        </w:rPr>
      </w:pPr>
      <w:r>
        <w:rPr>
          <w:rFonts w:hint="eastAsia" w:ascii="仿宋_GB2312" w:eastAsia="仿宋_GB2312"/>
          <w:sz w:val="32"/>
          <w:szCs w:val="32"/>
        </w:rPr>
        <w:t>泉丰泉办〔202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107</w:t>
      </w:r>
      <w:r>
        <w:rPr>
          <w:rFonts w:hint="eastAsia" w:ascii="仿宋_GB2312" w:eastAsia="仿宋_GB2312"/>
          <w:sz w:val="32"/>
          <w:szCs w:val="32"/>
        </w:rPr>
        <w:t>号</w:t>
      </w:r>
      <w:bookmarkStart w:id="0" w:name="_GoBack"/>
      <w:bookmarkEnd w:id="0"/>
    </w:p>
    <w:p>
      <w:pPr>
        <w:spacing w:line="579" w:lineRule="exact"/>
        <w:jc w:val="center"/>
        <w:rPr>
          <w:rFonts w:hint="eastAsia" w:eastAsia="仿宋_GB2312"/>
          <w:sz w:val="32"/>
          <w:szCs w:val="32"/>
        </w:rPr>
      </w:pPr>
    </w:p>
    <w:p>
      <w:pPr>
        <w:pStyle w:val="12"/>
        <w:spacing w:after="0" w:line="400" w:lineRule="exact"/>
        <w:ind w:firstLine="0" w:firstLineChars="0"/>
        <w:jc w:val="left"/>
      </w:pPr>
    </w:p>
    <w:p>
      <w:pPr>
        <w:keepNext w:val="0"/>
        <w:keepLines w:val="0"/>
        <w:pageBreakBefore w:val="0"/>
        <w:widowControl w:val="0"/>
        <w:tabs>
          <w:tab w:val="left" w:pos="3612"/>
          <w:tab w:val="center" w:pos="4365"/>
        </w:tabs>
        <w:kinsoku/>
        <w:wordWrap/>
        <w:overflowPunct/>
        <w:topLinePunct w:val="0"/>
        <w:autoSpaceDE/>
        <w:autoSpaceDN/>
        <w:bidi w:val="0"/>
        <w:snapToGrid w:val="0"/>
        <w:spacing w:line="579" w:lineRule="exact"/>
        <w:jc w:val="center"/>
        <w:textAlignment w:val="auto"/>
        <w:rPr>
          <w:rFonts w:eastAsia="方正小标宋简体"/>
          <w:kern w:val="32"/>
          <w:sz w:val="44"/>
          <w:szCs w:val="44"/>
        </w:rPr>
      </w:pPr>
      <w:r>
        <w:rPr>
          <w:rFonts w:hint="eastAsia" w:eastAsia="方正小标宋简体"/>
          <w:kern w:val="32"/>
          <w:sz w:val="44"/>
          <w:szCs w:val="44"/>
          <w:lang w:eastAsia="zh-CN"/>
        </w:rPr>
        <w:t>泉秀街道</w:t>
      </w:r>
      <w:r>
        <w:rPr>
          <w:rFonts w:eastAsia="方正小标宋简体"/>
          <w:kern w:val="32"/>
          <w:sz w:val="44"/>
          <w:szCs w:val="44"/>
        </w:rPr>
        <w:t>安全生产委员会办公室关于</w:t>
      </w:r>
    </w:p>
    <w:p>
      <w:pPr>
        <w:keepNext w:val="0"/>
        <w:keepLines w:val="0"/>
        <w:pageBreakBefore w:val="0"/>
        <w:widowControl w:val="0"/>
        <w:kinsoku/>
        <w:wordWrap/>
        <w:overflowPunct/>
        <w:topLinePunct w:val="0"/>
        <w:autoSpaceDE/>
        <w:autoSpaceDN/>
        <w:bidi w:val="0"/>
        <w:spacing w:line="579" w:lineRule="exact"/>
        <w:jc w:val="center"/>
        <w:textAlignment w:val="auto"/>
        <w:rPr>
          <w:rFonts w:eastAsia="楷体_GB2312"/>
          <w:color w:val="000000"/>
          <w:sz w:val="44"/>
          <w:szCs w:val="44"/>
        </w:rPr>
      </w:pPr>
      <w:r>
        <w:rPr>
          <w:rFonts w:eastAsia="方正小标宋简体"/>
          <w:color w:val="000000"/>
          <w:sz w:val="44"/>
          <w:szCs w:val="44"/>
        </w:rPr>
        <w:t>部署开展电气火灾隐患排查治理工作的通知</w:t>
      </w:r>
    </w:p>
    <w:p>
      <w:pPr>
        <w:keepNext w:val="0"/>
        <w:keepLines w:val="0"/>
        <w:pageBreakBefore w:val="0"/>
        <w:widowControl w:val="0"/>
        <w:kinsoku/>
        <w:wordWrap/>
        <w:overflowPunct/>
        <w:topLinePunct w:val="0"/>
        <w:autoSpaceDE/>
        <w:autoSpaceDN/>
        <w:bidi w:val="0"/>
        <w:spacing w:line="579" w:lineRule="exact"/>
        <w:jc w:val="center"/>
        <w:textAlignment w:val="auto"/>
        <w:rPr>
          <w:color w:val="000000"/>
          <w:sz w:val="44"/>
          <w:szCs w:val="44"/>
        </w:rPr>
      </w:pPr>
    </w:p>
    <w:p>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32"/>
          <w:sz w:val="32"/>
          <w:szCs w:val="32"/>
          <w:lang w:eastAsia="zh-CN"/>
        </w:rPr>
        <w:t>各社区居委会，机关各部门</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MERGEFIELD 主送 </w:instrText>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根据《泉州市</w:t>
      </w:r>
      <w:r>
        <w:rPr>
          <w:rFonts w:hint="eastAsia" w:ascii="仿宋_GB2312" w:hAnsi="仿宋_GB2312" w:eastAsia="仿宋_GB2312" w:cs="仿宋_GB2312"/>
          <w:color w:val="000000"/>
          <w:sz w:val="32"/>
          <w:szCs w:val="32"/>
          <w:lang w:eastAsia="zh-CN"/>
        </w:rPr>
        <w:t>丰泽区</w:t>
      </w:r>
      <w:r>
        <w:rPr>
          <w:rFonts w:hint="eastAsia" w:ascii="仿宋_GB2312" w:hAnsi="仿宋_GB2312" w:eastAsia="仿宋_GB2312" w:cs="仿宋_GB2312"/>
          <w:color w:val="000000"/>
          <w:sz w:val="32"/>
          <w:szCs w:val="32"/>
        </w:rPr>
        <w:t>安全生产委员会办公室关于部署开展电气火灾隐患排查治理工作的通知》（泉</w:t>
      </w:r>
      <w:r>
        <w:rPr>
          <w:rFonts w:hint="eastAsia" w:ascii="仿宋_GB2312" w:hAnsi="仿宋_GB2312" w:eastAsia="仿宋_GB2312" w:cs="仿宋_GB2312"/>
          <w:color w:val="000000"/>
          <w:sz w:val="32"/>
          <w:szCs w:val="32"/>
          <w:lang w:eastAsia="zh-CN"/>
        </w:rPr>
        <w:t>丰</w:t>
      </w:r>
      <w:r>
        <w:rPr>
          <w:rFonts w:hint="eastAsia" w:ascii="仿宋_GB2312" w:hAnsi="仿宋_GB2312" w:eastAsia="仿宋_GB2312" w:cs="仿宋_GB2312"/>
          <w:color w:val="000000"/>
          <w:sz w:val="32"/>
          <w:szCs w:val="32"/>
        </w:rPr>
        <w:t>安办〔2022〕</w:t>
      </w:r>
      <w:r>
        <w:rPr>
          <w:rFonts w:hint="eastAsia" w:ascii="仿宋_GB2312" w:hAnsi="仿宋_GB2312" w:eastAsia="仿宋_GB2312" w:cs="仿宋_GB2312"/>
          <w:color w:val="000000"/>
          <w:sz w:val="32"/>
          <w:szCs w:val="32"/>
          <w:lang w:val="en-US" w:eastAsia="zh-CN"/>
        </w:rPr>
        <w:t>116</w:t>
      </w:r>
      <w:r>
        <w:rPr>
          <w:rFonts w:hint="eastAsia" w:ascii="仿宋_GB2312" w:hAnsi="仿宋_GB2312" w:eastAsia="仿宋_GB2312" w:cs="仿宋_GB2312"/>
          <w:color w:val="000000"/>
          <w:sz w:val="32"/>
          <w:szCs w:val="32"/>
        </w:rPr>
        <w:t>号）要求，为着力防范化解电气火灾风险，全力遏制电气火灾多发势头，</w:t>
      </w:r>
      <w:r>
        <w:rPr>
          <w:rFonts w:hint="eastAsia" w:ascii="仿宋_GB2312" w:hAnsi="仿宋_GB2312" w:eastAsia="仿宋_GB2312" w:cs="仿宋_GB2312"/>
          <w:color w:val="000000"/>
          <w:sz w:val="32"/>
          <w:szCs w:val="32"/>
          <w:lang w:eastAsia="zh-CN"/>
        </w:rPr>
        <w:t>街道</w:t>
      </w:r>
      <w:r>
        <w:rPr>
          <w:rFonts w:hint="eastAsia" w:ascii="仿宋_GB2312" w:hAnsi="仿宋_GB2312" w:eastAsia="仿宋_GB2312" w:cs="仿宋_GB2312"/>
          <w:color w:val="000000"/>
          <w:sz w:val="32"/>
          <w:szCs w:val="32"/>
        </w:rPr>
        <w:t>安委会决定在</w:t>
      </w:r>
      <w:r>
        <w:rPr>
          <w:rFonts w:hint="eastAsia" w:ascii="仿宋_GB2312" w:hAnsi="仿宋_GB2312" w:eastAsia="仿宋_GB2312" w:cs="仿宋_GB2312"/>
          <w:color w:val="000000"/>
          <w:sz w:val="32"/>
          <w:szCs w:val="32"/>
          <w:lang w:eastAsia="zh-CN"/>
        </w:rPr>
        <w:t>辖区</w:t>
      </w:r>
      <w:r>
        <w:rPr>
          <w:rFonts w:hint="eastAsia" w:ascii="仿宋_GB2312" w:hAnsi="仿宋_GB2312" w:eastAsia="仿宋_GB2312" w:cs="仿宋_GB2312"/>
          <w:color w:val="000000"/>
          <w:sz w:val="32"/>
          <w:szCs w:val="32"/>
        </w:rPr>
        <w:t>范围内组织开展老旧住宅、居民住宅电气火灾隐患排查治理工作</w:t>
      </w:r>
      <w:r>
        <w:rPr>
          <w:rFonts w:hint="eastAsia" w:ascii="仿宋_GB2312" w:hAnsi="仿宋_GB2312" w:eastAsia="仿宋_GB2312" w:cs="仿宋_GB2312"/>
          <w:color w:val="000000"/>
          <w:sz w:val="32"/>
          <w:szCs w:val="32"/>
          <w:lang w:bidi="ar"/>
        </w:rPr>
        <w:t>。现将有关事项通知</w:t>
      </w:r>
      <w:r>
        <w:rPr>
          <w:rFonts w:hint="eastAsia" w:ascii="仿宋_GB2312" w:hAnsi="仿宋_GB2312" w:eastAsia="仿宋_GB2312" w:cs="仿宋_GB2312"/>
          <w:color w:val="000000"/>
          <w:sz w:val="32"/>
          <w:szCs w:val="32"/>
        </w:rPr>
        <w:t>如下：</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一、工作目标</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刻汲取电气火灾事故教训，坚持问题导向，注重关口前移，实施精准治理，以老旧住宅小区、居民住宅为重点，按照“明确范围、摸清底数、找准隐患，落实整改”的工作步骤，全面排查整改风险问题突出的居民住宅电气线路火灾隐患，实施表前、“表下线”（表后电气线路）改造工作，有效遏制电气火灾事故发生。</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二、整治范围和工作重点</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（一）整治范围</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次专项治理以2000年以前建成的老旧住宅小区、居民住宅的电气安全为重点。尤其是耐火等级低于三级的砖木结构居住建筑、租住自建房及脱贫户、低保户、特困户、鳏寡孤独等特殊群体居住场所，有条件的辖区可结合实际延伸至经营性场所、办公、厂房等场所。</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（二）工作重点</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电气线路是否符合国家有关标准规定，电表箱设置位置是否符合规范要求，电气线路连接是否达标；</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用电负荷是否超过初装容量；</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私拉乱接电线、使用“三无”电器产品；</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落实电气安全和消防设施器材配备；</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对存在隐患的表外、表下线进行改造。</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三、治理措施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color w:val="000000"/>
          <w:sz w:val="32"/>
          <w:szCs w:val="32"/>
        </w:rPr>
        <w:t>（一）全面排查摸清底数。</w:t>
      </w:r>
      <w:r>
        <w:rPr>
          <w:rFonts w:hint="eastAsia" w:ascii="仿宋_GB2312" w:hAnsi="仿宋_GB2312" w:eastAsia="仿宋_GB2312" w:cs="仿宋_GB2312"/>
          <w:b w:val="0"/>
          <w:bCs/>
          <w:color w:val="000000"/>
          <w:sz w:val="32"/>
          <w:szCs w:val="32"/>
        </w:rPr>
        <w:t>组织基层网格力量，全面开展属地老旧小区、居民住宅的底数清单，同步开展显见性电气火灾隐患排查摸底工作，聘请具有相关电气资格证书的人员或具有相关资质的技术服务机构，对上述场所开展绝缘检测和电阻回路检测。摸清存在电气火灾隐患的场所底数，建立改造对象库。</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color w:val="000000"/>
          <w:sz w:val="32"/>
          <w:szCs w:val="32"/>
        </w:rPr>
        <w:t>（二）增配更新设施器材。</w:t>
      </w:r>
      <w:r>
        <w:rPr>
          <w:rFonts w:hint="eastAsia" w:ascii="仿宋_GB2312" w:hAnsi="仿宋_GB2312" w:eastAsia="仿宋_GB2312" w:cs="仿宋_GB2312"/>
          <w:b w:val="0"/>
          <w:bCs/>
          <w:color w:val="000000"/>
          <w:sz w:val="32"/>
          <w:szCs w:val="32"/>
        </w:rPr>
        <w:t>针对本次重点排查整改对象，开展电气、消防设施器材增配更新。1.老旧住宅小区落实“</w:t>
      </w:r>
      <w:r>
        <w:rPr>
          <w:rFonts w:hint="eastAsia" w:ascii="仿宋_GB2312" w:hAnsi="仿宋_GB2312" w:eastAsia="仿宋_GB2312" w:cs="仿宋_GB2312"/>
          <w:b w:val="0"/>
          <w:bCs/>
          <w:color w:val="000000"/>
          <w:sz w:val="32"/>
          <w:szCs w:val="32"/>
          <w:lang w:val="en"/>
        </w:rPr>
        <w:t>4</w:t>
      </w:r>
      <w:r>
        <w:rPr>
          <w:rFonts w:hint="eastAsia" w:ascii="仿宋_GB2312" w:hAnsi="仿宋_GB2312" w:eastAsia="仿宋_GB2312" w:cs="仿宋_GB2312"/>
          <w:b w:val="0"/>
          <w:bCs/>
          <w:color w:val="000000"/>
          <w:sz w:val="32"/>
          <w:szCs w:val="32"/>
        </w:rPr>
        <w:t>个配备”</w:t>
      </w:r>
      <w:r>
        <w:rPr>
          <w:rFonts w:hint="eastAsia" w:ascii="仿宋_GB2312" w:hAnsi="仿宋_GB2312" w:eastAsia="仿宋_GB2312" w:cs="仿宋_GB2312"/>
          <w:b w:val="0"/>
          <w:bCs/>
          <w:color w:val="000000"/>
          <w:sz w:val="32"/>
          <w:szCs w:val="32"/>
          <w:lang w:val="en"/>
        </w:rPr>
        <w:t>（</w:t>
      </w:r>
      <w:r>
        <w:rPr>
          <w:rFonts w:hint="eastAsia" w:ascii="仿宋_GB2312" w:hAnsi="仿宋_GB2312" w:eastAsia="仿宋_GB2312" w:cs="仿宋_GB2312"/>
          <w:b w:val="0"/>
          <w:bCs/>
          <w:color w:val="000000"/>
          <w:sz w:val="32"/>
          <w:szCs w:val="32"/>
        </w:rPr>
        <w:t>即电气安全方面，每户配备1个漏电保护器；消防安全方面，每户配备1个灭火器、1个逃生面罩、1个烟感报警器）。2.居民住宅落实“4个配备”（即电气安全方面，每户配备1个漏电保护器；消防安全方面，依据场所规模、实有人数配备烟感报警器、灭火器、逃生面罩）。</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（三）开展电气改造工作。</w:t>
      </w:r>
      <w:r>
        <w:rPr>
          <w:rFonts w:hint="eastAsia" w:ascii="仿宋_GB2312" w:hAnsi="仿宋_GB2312" w:eastAsia="仿宋_GB2312" w:cs="仿宋_GB2312"/>
          <w:b w:val="0"/>
          <w:bCs/>
          <w:color w:val="auto"/>
          <w:kern w:val="0"/>
          <w:sz w:val="32"/>
          <w:szCs w:val="32"/>
        </w:rPr>
        <w:t>1.安装漏电保护装置，</w:t>
      </w:r>
      <w:r>
        <w:rPr>
          <w:rFonts w:hint="eastAsia" w:ascii="仿宋_GB2312" w:hAnsi="仿宋_GB2312" w:eastAsia="仿宋_GB2312" w:cs="仿宋_GB2312"/>
          <w:b w:val="0"/>
          <w:bCs/>
          <w:color w:val="auto"/>
          <w:sz w:val="32"/>
          <w:szCs w:val="32"/>
        </w:rPr>
        <w:t>改造对象装设漏电保护器，带有过电流、过电压、漏电保护三功能，一般环境选择动作电流不超过30mA，动作时间不超过0.1S。</w:t>
      </w:r>
      <w:r>
        <w:rPr>
          <w:rFonts w:hint="eastAsia" w:ascii="仿宋_GB2312" w:hAnsi="仿宋_GB2312" w:eastAsia="仿宋_GB2312" w:cs="仿宋_GB2312"/>
          <w:b w:val="0"/>
          <w:bCs/>
          <w:color w:val="auto"/>
          <w:kern w:val="0"/>
          <w:sz w:val="32"/>
          <w:szCs w:val="32"/>
        </w:rPr>
        <w:t>2.改造表下电气线路，</w:t>
      </w:r>
      <w:r>
        <w:rPr>
          <w:rFonts w:hint="eastAsia" w:ascii="仿宋_GB2312" w:hAnsi="仿宋_GB2312" w:eastAsia="仿宋_GB2312" w:cs="仿宋_GB2312"/>
          <w:b w:val="0"/>
          <w:bCs/>
          <w:color w:val="auto"/>
          <w:sz w:val="32"/>
          <w:szCs w:val="32"/>
        </w:rPr>
        <w:t>线路应采用铜芯电线，其规格应满足用电负荷需求且不得小于2×2.5mm</w:t>
      </w:r>
      <w:r>
        <w:rPr>
          <w:rFonts w:hint="eastAsia" w:ascii="仿宋_GB2312" w:hAnsi="仿宋_GB2312" w:eastAsia="仿宋_GB2312" w:cs="仿宋_GB2312"/>
          <w:b w:val="0"/>
          <w:bCs/>
          <w:color w:val="auto"/>
          <w:sz w:val="32"/>
          <w:szCs w:val="32"/>
          <w:vertAlign w:val="superscript"/>
        </w:rPr>
        <w:t>2</w:t>
      </w:r>
      <w:r>
        <w:rPr>
          <w:rFonts w:hint="eastAsia" w:ascii="仿宋_GB2312" w:hAnsi="仿宋_GB2312" w:eastAsia="仿宋_GB2312" w:cs="仿宋_GB2312"/>
          <w:b w:val="0"/>
          <w:bCs/>
          <w:color w:val="auto"/>
          <w:sz w:val="32"/>
          <w:szCs w:val="32"/>
        </w:rPr>
        <w:t>，直接敷设、放置的插座应拆移至不燃物上。</w:t>
      </w:r>
      <w:r>
        <w:rPr>
          <w:rFonts w:hint="eastAsia" w:ascii="仿宋_GB2312" w:hAnsi="仿宋_GB2312" w:eastAsia="仿宋_GB2312" w:cs="仿宋_GB2312"/>
          <w:b w:val="0"/>
          <w:bCs/>
          <w:color w:val="auto"/>
          <w:kern w:val="0"/>
          <w:sz w:val="32"/>
          <w:szCs w:val="32"/>
        </w:rPr>
        <w:t>3.开展表外电气工程改造，</w:t>
      </w:r>
      <w:r>
        <w:rPr>
          <w:rFonts w:hint="eastAsia" w:ascii="仿宋_GB2312" w:hAnsi="仿宋_GB2312" w:eastAsia="仿宋_GB2312" w:cs="仿宋_GB2312"/>
          <w:b w:val="0"/>
          <w:bCs/>
          <w:color w:val="auto"/>
          <w:sz w:val="32"/>
          <w:szCs w:val="32"/>
        </w:rPr>
        <w:t>供电企业对表在可燃物上的电气线路应穿阻燃管保护，直接敷设、放置在可燃物上外电气工程实施改造，对现有电力线路以及与架空线路密切相连的塔、杆、交接箱、控制箱及配电箱等基础配套设施进行改造。其中，电表箱应为金属材质喷塑，户外设置的需带遮雨棚。电表箱应有接地，现场不具备接地条件时，应选用非金属材质计量箱。安装现场为潮湿、盐雾等易腐蚀、生锈环境的，应选用不锈钢材质或非金属材质计量箱。4.用好新型技防措施，鼓励居民住宅户内安装电气火灾监控设备，以及联网型独立式感烟探测器，对火灾事故实现早期报警和探测。</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（四）建立完善长效机制。</w:t>
      </w:r>
      <w:r>
        <w:rPr>
          <w:rFonts w:hint="eastAsia" w:ascii="仿宋_GB2312" w:hAnsi="仿宋_GB2312" w:eastAsia="仿宋_GB2312" w:cs="仿宋_GB2312"/>
          <w:b w:val="0"/>
          <w:bCs/>
          <w:color w:val="auto"/>
          <w:sz w:val="32"/>
          <w:szCs w:val="32"/>
        </w:rPr>
        <w:t>1.常态化开展电气安全检查，组织社区居委会和物业服务企业常态化检查电气线路敷设不规范、用电负荷超额、私拉乱接电线等电气类火灾隐患。2.引导居民使用合规电器，通过入户宣传、劝导等方式，引导居民对“三无”电器产品、“老国标”插线板等存在火灾隐患的电器设备进行更换。3.探索实行电气火灾意外保险，积极对接保险企业，探索、发行由政府统一参保的电气火灾意外保险。4.强化用电改造经费支撑。各街道可申请将居民用电改造工作纳入2023年度区级为民办实事项目范畴。鼓励住宅小区按照有关规定使用住宅专项维修基金改造老旧线路。</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四、时间步骤</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2022年11月至2023年5月结束，分四个阶段进行。</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（一）动员部署阶段（2022年11月25日前）。</w:t>
      </w:r>
      <w:r>
        <w:rPr>
          <w:rFonts w:hint="eastAsia" w:ascii="仿宋_GB2312" w:hAnsi="仿宋_GB2312" w:eastAsia="仿宋_GB2312" w:cs="仿宋_GB2312"/>
          <w:b w:val="0"/>
          <w:bCs/>
          <w:color w:val="auto"/>
          <w:sz w:val="32"/>
          <w:szCs w:val="32"/>
          <w:lang w:eastAsia="zh-CN"/>
        </w:rPr>
        <w:t>各社区</w:t>
      </w:r>
      <w:r>
        <w:rPr>
          <w:rFonts w:hint="eastAsia" w:ascii="仿宋_GB2312" w:hAnsi="仿宋_GB2312" w:eastAsia="仿宋_GB2312" w:cs="仿宋_GB2312"/>
          <w:b w:val="0"/>
          <w:bCs/>
          <w:color w:val="auto"/>
          <w:sz w:val="32"/>
          <w:szCs w:val="32"/>
        </w:rPr>
        <w:t>应参照本方案要求，结合实际，制定具体实施方案，明确治理标准、排查重点、整治方法、经费来源并细化工作职责，全面动员部署。</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（二）全面排查阶段（2022年11月26日至2022年12月31日）。</w:t>
      </w:r>
      <w:r>
        <w:rPr>
          <w:rFonts w:hint="eastAsia" w:ascii="仿宋_GB2312" w:hAnsi="仿宋_GB2312" w:eastAsia="仿宋_GB2312" w:cs="仿宋_GB2312"/>
          <w:b w:val="0"/>
          <w:bCs/>
          <w:color w:val="auto"/>
          <w:sz w:val="32"/>
          <w:szCs w:val="32"/>
        </w:rPr>
        <w:t>供电部门提供技术支持，为基层网格力量进行培训，各</w:t>
      </w:r>
      <w:r>
        <w:rPr>
          <w:rFonts w:hint="eastAsia" w:ascii="仿宋_GB2312" w:hAnsi="仿宋_GB2312" w:eastAsia="仿宋_GB2312" w:cs="仿宋_GB2312"/>
          <w:b w:val="0"/>
          <w:bCs/>
          <w:color w:val="auto"/>
          <w:sz w:val="32"/>
          <w:szCs w:val="32"/>
          <w:lang w:eastAsia="zh-CN"/>
        </w:rPr>
        <w:t>社区各部门</w:t>
      </w:r>
      <w:r>
        <w:rPr>
          <w:rFonts w:hint="eastAsia" w:ascii="仿宋_GB2312" w:hAnsi="仿宋_GB2312" w:eastAsia="仿宋_GB2312" w:cs="仿宋_GB2312"/>
          <w:b w:val="0"/>
          <w:bCs/>
          <w:color w:val="auto"/>
          <w:sz w:val="32"/>
          <w:szCs w:val="32"/>
        </w:rPr>
        <w:t>发动基层网格力量，摸排建立辖区老旧住宅小区、居民住宅的底数清单，并对照《电气火灾隐患排查（自查）表》（附件1），同步开展显见性电气火灾隐患排查。聘请具有相关电气资格证书的人员或具有相关资质的技术服务机构，开展电气安全检测，建立改造对象名单，分批制定改造计划方案。</w:t>
      </w:r>
      <w:r>
        <w:rPr>
          <w:rFonts w:hint="eastAsia" w:ascii="仿宋_GB2312" w:hAnsi="仿宋_GB2312" w:eastAsia="仿宋_GB2312" w:cs="仿宋_GB2312"/>
          <w:b w:val="0"/>
          <w:bCs/>
          <w:color w:val="auto"/>
          <w:sz w:val="32"/>
          <w:szCs w:val="32"/>
          <w:lang w:eastAsia="zh-CN"/>
        </w:rPr>
        <w:t>各社区</w:t>
      </w:r>
      <w:r>
        <w:rPr>
          <w:rFonts w:hint="eastAsia" w:ascii="仿宋_GB2312" w:hAnsi="仿宋_GB2312" w:eastAsia="仿宋_GB2312" w:cs="仿宋_GB2312"/>
          <w:b w:val="0"/>
          <w:bCs/>
          <w:color w:val="auto"/>
          <w:sz w:val="32"/>
          <w:szCs w:val="32"/>
        </w:rPr>
        <w:t>提出需要纳入“表下线”改造的名单，建立改造档案。</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（三）集中改造阶段（2023年1月1日至2023年5月31日）。</w:t>
      </w:r>
      <w:r>
        <w:rPr>
          <w:rFonts w:hint="eastAsia" w:ascii="仿宋_GB2312" w:hAnsi="仿宋_GB2312" w:eastAsia="仿宋_GB2312" w:cs="仿宋_GB2312"/>
          <w:b w:val="0"/>
          <w:bCs/>
          <w:color w:val="auto"/>
          <w:sz w:val="32"/>
          <w:szCs w:val="32"/>
        </w:rPr>
        <w:t>各</w:t>
      </w:r>
      <w:r>
        <w:rPr>
          <w:rFonts w:hint="eastAsia" w:ascii="仿宋_GB2312" w:hAnsi="仿宋_GB2312" w:eastAsia="仿宋_GB2312" w:cs="仿宋_GB2312"/>
          <w:b w:val="0"/>
          <w:bCs/>
          <w:color w:val="auto"/>
          <w:sz w:val="32"/>
          <w:szCs w:val="32"/>
          <w:lang w:eastAsia="zh-CN"/>
        </w:rPr>
        <w:t>社区</w:t>
      </w:r>
      <w:r>
        <w:rPr>
          <w:rFonts w:hint="eastAsia" w:ascii="仿宋_GB2312" w:hAnsi="仿宋_GB2312" w:eastAsia="仿宋_GB2312" w:cs="仿宋_GB2312"/>
          <w:b w:val="0"/>
          <w:bCs/>
          <w:color w:val="auto"/>
          <w:sz w:val="32"/>
          <w:szCs w:val="32"/>
        </w:rPr>
        <w:t>可按照“试点先行、逐步完善、全面覆盖”的原则，选取1-2个电气火灾多发</w:t>
      </w:r>
      <w:r>
        <w:rPr>
          <w:rFonts w:hint="eastAsia" w:ascii="仿宋_GB2312" w:hAnsi="仿宋_GB2312" w:eastAsia="仿宋_GB2312" w:cs="仿宋_GB2312"/>
          <w:b w:val="0"/>
          <w:bCs/>
          <w:color w:val="auto"/>
          <w:sz w:val="32"/>
          <w:szCs w:val="32"/>
          <w:lang w:eastAsia="zh-CN"/>
        </w:rPr>
        <w:t>区域</w:t>
      </w:r>
      <w:r>
        <w:rPr>
          <w:rFonts w:hint="eastAsia" w:ascii="仿宋_GB2312" w:hAnsi="仿宋_GB2312" w:eastAsia="仿宋_GB2312" w:cs="仿宋_GB2312"/>
          <w:b w:val="0"/>
          <w:bCs/>
          <w:color w:val="auto"/>
          <w:sz w:val="32"/>
          <w:szCs w:val="32"/>
        </w:rPr>
        <w:t>进行试点，形成经验后在街道管辖全面进行整改。</w:t>
      </w:r>
      <w:r>
        <w:rPr>
          <w:rFonts w:hint="eastAsia" w:ascii="仿宋_GB2312" w:hAnsi="仿宋_GB2312" w:eastAsia="仿宋_GB2312" w:cs="仿宋_GB2312"/>
          <w:b w:val="0"/>
          <w:bCs/>
          <w:color w:val="auto"/>
          <w:sz w:val="32"/>
          <w:szCs w:val="32"/>
          <w:lang w:eastAsia="zh-CN"/>
        </w:rPr>
        <w:t>街道配合</w:t>
      </w:r>
      <w:r>
        <w:rPr>
          <w:rFonts w:hint="eastAsia" w:ascii="仿宋_GB2312" w:hAnsi="仿宋_GB2312" w:eastAsia="仿宋_GB2312" w:cs="仿宋_GB2312"/>
          <w:b w:val="0"/>
          <w:bCs/>
          <w:color w:val="auto"/>
          <w:sz w:val="32"/>
          <w:szCs w:val="32"/>
        </w:rPr>
        <w:t>区直住建、农业农村和水利、消防、电力等单位按照相关技术标准并结合试点经验，制定有关工作导则，规范电气线路敷设和用电行为。供电公司主动服务提供技术和安装力量，根据住户负荷特点、房屋位置、线路走向、自然天气等因素，实行“一户一策”的改造，重点采取改造电气线路、加装漏电保护装置等措施，确实消除隐患。改造期间，坚持用户备料、施工免费的原则，积极引导用户自筹、众筹资金。“表下线”以“整理、整顿”为主，对用户原有设备材料，质量安全合格的充分利旧，避免大拆大换，争取应改尽改。</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五、有关要求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（一）强化组织领导。</w:t>
      </w:r>
      <w:r>
        <w:rPr>
          <w:rFonts w:hint="eastAsia" w:ascii="仿宋_GB2312" w:hAnsi="仿宋_GB2312" w:eastAsia="仿宋_GB2312" w:cs="仿宋_GB2312"/>
          <w:b w:val="0"/>
          <w:bCs/>
          <w:color w:val="auto"/>
          <w:sz w:val="32"/>
          <w:szCs w:val="32"/>
        </w:rPr>
        <w:t>在省、市</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专项整治工作领导小组的指导下，我</w:t>
      </w:r>
      <w:r>
        <w:rPr>
          <w:rFonts w:hint="eastAsia" w:ascii="仿宋_GB2312" w:hAnsi="仿宋_GB2312" w:eastAsia="仿宋_GB2312" w:cs="仿宋_GB2312"/>
          <w:b w:val="0"/>
          <w:bCs/>
          <w:color w:val="auto"/>
          <w:sz w:val="32"/>
          <w:szCs w:val="32"/>
          <w:lang w:eastAsia="zh-CN"/>
        </w:rPr>
        <w:t>街道</w:t>
      </w:r>
      <w:r>
        <w:rPr>
          <w:rFonts w:hint="eastAsia" w:ascii="仿宋_GB2312" w:hAnsi="仿宋_GB2312" w:eastAsia="仿宋_GB2312" w:cs="仿宋_GB2312"/>
          <w:b w:val="0"/>
          <w:bCs/>
          <w:color w:val="auto"/>
          <w:sz w:val="32"/>
          <w:szCs w:val="32"/>
        </w:rPr>
        <w:t>成立专项整治工作领导小组，办公室设在</w:t>
      </w:r>
      <w:r>
        <w:rPr>
          <w:rFonts w:hint="eastAsia" w:ascii="仿宋_GB2312" w:hAnsi="仿宋_GB2312" w:eastAsia="仿宋_GB2312" w:cs="仿宋_GB2312"/>
          <w:b w:val="0"/>
          <w:bCs/>
          <w:color w:val="auto"/>
          <w:sz w:val="32"/>
          <w:szCs w:val="32"/>
          <w:lang w:eastAsia="zh-CN"/>
        </w:rPr>
        <w:t>街道安办</w:t>
      </w:r>
      <w:r>
        <w:rPr>
          <w:rFonts w:hint="eastAsia" w:ascii="仿宋_GB2312" w:hAnsi="仿宋_GB2312" w:eastAsia="仿宋_GB2312" w:cs="仿宋_GB2312"/>
          <w:b w:val="0"/>
          <w:bCs/>
          <w:color w:val="auto"/>
          <w:sz w:val="32"/>
          <w:szCs w:val="32"/>
        </w:rPr>
        <w:t>，领导小组办公室定期会商研判推进工作落实，确定重点区域和重要环节，务求治理实效。</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（二）明确职责分工</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街道安办</w:t>
      </w:r>
      <w:r>
        <w:rPr>
          <w:rFonts w:hint="eastAsia" w:ascii="仿宋_GB2312" w:hAnsi="仿宋_GB2312" w:eastAsia="仿宋_GB2312" w:cs="仿宋_GB2312"/>
          <w:b w:val="0"/>
          <w:bCs/>
          <w:color w:val="auto"/>
          <w:sz w:val="32"/>
          <w:szCs w:val="32"/>
        </w:rPr>
        <w:t>负责整治工作的统筹协调，适时组织相关部门召开会议研究推进，定期对各</w:t>
      </w:r>
      <w:r>
        <w:rPr>
          <w:rFonts w:hint="eastAsia" w:ascii="仿宋_GB2312" w:hAnsi="仿宋_GB2312" w:eastAsia="仿宋_GB2312" w:cs="仿宋_GB2312"/>
          <w:b w:val="0"/>
          <w:bCs/>
          <w:color w:val="auto"/>
          <w:sz w:val="32"/>
          <w:szCs w:val="32"/>
          <w:lang w:eastAsia="zh-CN"/>
        </w:rPr>
        <w:t>社区</w:t>
      </w:r>
      <w:r>
        <w:rPr>
          <w:rFonts w:hint="eastAsia" w:ascii="仿宋_GB2312" w:hAnsi="仿宋_GB2312" w:eastAsia="仿宋_GB2312" w:cs="仿宋_GB2312"/>
          <w:b w:val="0"/>
          <w:bCs/>
          <w:color w:val="auto"/>
          <w:sz w:val="32"/>
          <w:szCs w:val="32"/>
        </w:rPr>
        <w:t>工作开展情况进行督导检查。</w:t>
      </w:r>
      <w:r>
        <w:rPr>
          <w:rFonts w:hint="eastAsia" w:ascii="仿宋_GB2312" w:hAnsi="仿宋_GB2312" w:eastAsia="仿宋_GB2312" w:cs="仿宋_GB2312"/>
          <w:b w:val="0"/>
          <w:bCs/>
          <w:color w:val="auto"/>
          <w:sz w:val="32"/>
          <w:szCs w:val="32"/>
          <w:lang w:eastAsia="zh-CN"/>
        </w:rPr>
        <w:t>配合</w:t>
      </w:r>
      <w:r>
        <w:rPr>
          <w:rFonts w:hint="eastAsia" w:ascii="仿宋_GB2312" w:hAnsi="仿宋_GB2312" w:eastAsia="仿宋_GB2312" w:cs="仿宋_GB2312"/>
          <w:b w:val="0"/>
          <w:bCs/>
          <w:color w:val="auto"/>
          <w:sz w:val="32"/>
          <w:szCs w:val="32"/>
        </w:rPr>
        <w:t>区消防救援大队依法履行消防安全综合监管职责，落实电气火灾隐患排查整治职责，收集整理各街道在改造过程中的典型做法和突出问题，因地制宜开展改造。</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街道城管办配合区</w:t>
      </w:r>
      <w:r>
        <w:rPr>
          <w:rFonts w:hint="eastAsia" w:ascii="仿宋_GB2312" w:hAnsi="仿宋_GB2312" w:eastAsia="仿宋_GB2312" w:cs="仿宋_GB2312"/>
          <w:b w:val="0"/>
          <w:bCs/>
          <w:color w:val="auto"/>
          <w:sz w:val="32"/>
          <w:szCs w:val="32"/>
        </w:rPr>
        <w:t>住建局</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负责提供老旧住宅小区、居民住宅的底数清单。指导督促物业服务企业开展老旧住宅小区电气火灾隐患排查，将电气改造纳入老旧小区改造、居民住宅整治内容，支持住宅小区按照有关规定使用住宅专项维修金改造老旧线路。</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街道民政办配合</w:t>
      </w:r>
      <w:r>
        <w:rPr>
          <w:rFonts w:hint="eastAsia" w:ascii="仿宋_GB2312" w:hAnsi="仿宋_GB2312" w:eastAsia="仿宋_GB2312" w:cs="仿宋_GB2312"/>
          <w:b w:val="0"/>
          <w:bCs/>
          <w:color w:val="auto"/>
          <w:sz w:val="32"/>
          <w:szCs w:val="32"/>
        </w:rPr>
        <w:t>区民政局</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负责提供低收入群体（指特困人员、低保对象、低保边缘家庭、孤儿、事实无人抚养儿童）底数清单。</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街道财政所配合</w:t>
      </w:r>
      <w:r>
        <w:rPr>
          <w:rFonts w:hint="eastAsia" w:ascii="仿宋_GB2312" w:hAnsi="仿宋_GB2312" w:eastAsia="仿宋_GB2312" w:cs="仿宋_GB2312"/>
          <w:b w:val="0"/>
          <w:bCs/>
          <w:color w:val="auto"/>
          <w:sz w:val="32"/>
          <w:szCs w:val="32"/>
        </w:rPr>
        <w:t>区财政局负责指导各街道在改造过程中合理利用财政资金进行补助。</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泉秀派出所配合</w:t>
      </w:r>
      <w:r>
        <w:rPr>
          <w:rFonts w:hint="eastAsia" w:ascii="仿宋_GB2312" w:hAnsi="仿宋_GB2312" w:eastAsia="仿宋_GB2312" w:cs="仿宋_GB2312"/>
          <w:b w:val="0"/>
          <w:bCs/>
          <w:color w:val="auto"/>
          <w:sz w:val="32"/>
          <w:szCs w:val="32"/>
        </w:rPr>
        <w:t>区公安分局负责指导日常社区警务工作协助开展排查摸底及电力安全的培训教育工作。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城区供电公司应发挥专业优势，配合区专项整治工作领导小组成立电力服务队、发动电力抄表员配合基层网格员检查表内电气火灾隐患，提出技术标准和整改意见，主动提供技术支持和安装力量、培训教育等服务，确保改造满足相关标准和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各社区</w:t>
      </w:r>
      <w:r>
        <w:rPr>
          <w:rFonts w:hint="eastAsia" w:ascii="仿宋_GB2312" w:hAnsi="仿宋_GB2312" w:eastAsia="仿宋_GB2312" w:cs="仿宋_GB2312"/>
          <w:b w:val="0"/>
          <w:bCs/>
          <w:color w:val="auto"/>
          <w:sz w:val="32"/>
          <w:szCs w:val="32"/>
        </w:rPr>
        <w:t>履行属地管理职责，对照《电气火灾隐患排查（自查）表》（附件1）对管辖老旧小区、居民住宅逐栋逐户开展排查，并做好登记造册。督促指导整改检查发现的显见性电气火灾隐患，对检查发现的严重型火灾隐患及时报送</w:t>
      </w:r>
      <w:r>
        <w:rPr>
          <w:rFonts w:hint="eastAsia" w:ascii="仿宋_GB2312" w:hAnsi="仿宋_GB2312" w:eastAsia="仿宋_GB2312" w:cs="仿宋_GB2312"/>
          <w:b w:val="0"/>
          <w:bCs/>
          <w:color w:val="auto"/>
          <w:sz w:val="32"/>
          <w:szCs w:val="32"/>
          <w:lang w:eastAsia="zh-CN"/>
        </w:rPr>
        <w:t>街道</w:t>
      </w:r>
      <w:r>
        <w:rPr>
          <w:rFonts w:hint="eastAsia" w:ascii="仿宋_GB2312" w:hAnsi="仿宋_GB2312" w:eastAsia="仿宋_GB2312" w:cs="仿宋_GB2312"/>
          <w:b w:val="0"/>
          <w:bCs/>
          <w:color w:val="auto"/>
          <w:sz w:val="32"/>
          <w:szCs w:val="32"/>
        </w:rPr>
        <w:t>专项整治工作领导小组采取针对性治理措施。2023年2月底前完成管辖试点区域综合治理工作，形成可借鉴、可推广的工作经验。</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（三）形成工作合力。</w:t>
      </w:r>
      <w:r>
        <w:rPr>
          <w:rFonts w:hint="eastAsia" w:ascii="仿宋_GB2312" w:hAnsi="仿宋_GB2312" w:eastAsia="仿宋_GB2312" w:cs="仿宋_GB2312"/>
          <w:b w:val="0"/>
          <w:bCs/>
          <w:color w:val="auto"/>
          <w:sz w:val="32"/>
          <w:szCs w:val="32"/>
        </w:rPr>
        <w:t>排查整治过程中，</w:t>
      </w:r>
      <w:r>
        <w:rPr>
          <w:rFonts w:hint="eastAsia" w:ascii="仿宋_GB2312" w:hAnsi="仿宋_GB2312" w:eastAsia="仿宋_GB2312" w:cs="仿宋_GB2312"/>
          <w:b w:val="0"/>
          <w:bCs/>
          <w:color w:val="auto"/>
          <w:sz w:val="32"/>
          <w:szCs w:val="32"/>
          <w:lang w:eastAsia="zh-CN"/>
        </w:rPr>
        <w:t>各社区居委会，机关各部门</w:t>
      </w:r>
      <w:r>
        <w:rPr>
          <w:rFonts w:hint="eastAsia" w:ascii="仿宋_GB2312" w:hAnsi="仿宋_GB2312" w:eastAsia="仿宋_GB2312" w:cs="仿宋_GB2312"/>
          <w:b w:val="0"/>
          <w:bCs/>
          <w:color w:val="auto"/>
          <w:sz w:val="32"/>
          <w:szCs w:val="32"/>
        </w:rPr>
        <w:t>应加强协作，定期研究治理工作中存在的突出问题。将电气火灾隐患整治纳入旧城改造、乡村振兴，作为美丽社区建设和文明城市和文明单位（社区）创建的重要内容，统筹推进。</w:t>
      </w:r>
      <w:r>
        <w:rPr>
          <w:rFonts w:hint="eastAsia" w:ascii="仿宋_GB2312" w:hAnsi="仿宋_GB2312" w:eastAsia="仿宋_GB2312" w:cs="仿宋_GB2312"/>
          <w:b w:val="0"/>
          <w:bCs/>
          <w:color w:val="auto"/>
          <w:sz w:val="32"/>
          <w:szCs w:val="32"/>
          <w:lang w:eastAsia="zh-CN"/>
        </w:rPr>
        <w:t>泉秀</w:t>
      </w:r>
      <w:r>
        <w:rPr>
          <w:rFonts w:hint="eastAsia" w:ascii="仿宋_GB2312" w:hAnsi="仿宋_GB2312" w:eastAsia="仿宋_GB2312" w:cs="仿宋_GB2312"/>
          <w:b w:val="0"/>
          <w:bCs/>
          <w:color w:val="auto"/>
          <w:sz w:val="32"/>
          <w:szCs w:val="32"/>
        </w:rPr>
        <w:t>派出所、社区居委会要发挥好末端优势，将此次专项整治与日常工作有机结合，确保整治任务稳步推进。</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（四）强化宣教培训。</w:t>
      </w:r>
      <w:r>
        <w:rPr>
          <w:rFonts w:hint="eastAsia" w:ascii="仿宋_GB2312" w:hAnsi="仿宋_GB2312" w:eastAsia="仿宋_GB2312" w:cs="仿宋_GB2312"/>
          <w:b w:val="0"/>
          <w:bCs/>
          <w:color w:val="auto"/>
          <w:sz w:val="32"/>
          <w:szCs w:val="32"/>
        </w:rPr>
        <w:t>街道</w:t>
      </w:r>
      <w:r>
        <w:rPr>
          <w:rFonts w:hint="eastAsia" w:ascii="仿宋_GB2312" w:hAnsi="仿宋_GB2312" w:eastAsia="仿宋_GB2312" w:cs="仿宋_GB2312"/>
          <w:b w:val="0"/>
          <w:bCs/>
          <w:color w:val="auto"/>
          <w:sz w:val="32"/>
          <w:szCs w:val="32"/>
          <w:lang w:eastAsia="zh-CN"/>
        </w:rPr>
        <w:t>将</w:t>
      </w:r>
      <w:r>
        <w:rPr>
          <w:rFonts w:hint="eastAsia" w:ascii="仿宋_GB2312" w:hAnsi="仿宋_GB2312" w:eastAsia="仿宋_GB2312" w:cs="仿宋_GB2312"/>
          <w:b w:val="0"/>
          <w:bCs/>
          <w:color w:val="auto"/>
          <w:sz w:val="32"/>
          <w:szCs w:val="32"/>
        </w:rPr>
        <w:t>邀请电力部门，对基层网格员、</w:t>
      </w:r>
      <w:r>
        <w:rPr>
          <w:rFonts w:hint="eastAsia" w:ascii="仿宋_GB2312" w:hAnsi="仿宋_GB2312" w:eastAsia="仿宋_GB2312" w:cs="仿宋_GB2312"/>
          <w:b w:val="0"/>
          <w:bCs/>
          <w:color w:val="auto"/>
          <w:sz w:val="32"/>
          <w:szCs w:val="32"/>
          <w:lang w:eastAsia="zh-CN"/>
        </w:rPr>
        <w:t>泉秀</w:t>
      </w:r>
      <w:r>
        <w:rPr>
          <w:rFonts w:hint="eastAsia" w:ascii="仿宋_GB2312" w:hAnsi="仿宋_GB2312" w:eastAsia="仿宋_GB2312" w:cs="仿宋_GB2312"/>
          <w:b w:val="0"/>
          <w:bCs/>
          <w:color w:val="auto"/>
          <w:sz w:val="32"/>
          <w:szCs w:val="32"/>
        </w:rPr>
        <w:t>派出所、社区居委会、物业服务企业等基层力量开展电力安全隐患整治业务培训，重点教授铜铝线不规范交接、配电线路容量、过载超负荷、电弧放电等常见性隐患辨识方法。要利用各类媒体定期播放电气火灾案例和安全用电知识，加强社会面用电防火安全宣传，引导群众认识火灾危害，提升改造意愿，主动参与电气火灾隐患排查整治和电气线路改造。</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（五）落实经费保障。</w:t>
      </w:r>
      <w:r>
        <w:rPr>
          <w:rFonts w:hint="eastAsia" w:ascii="仿宋_GB2312" w:hAnsi="仿宋_GB2312" w:eastAsia="仿宋_GB2312" w:cs="仿宋_GB2312"/>
          <w:b w:val="0"/>
          <w:bCs/>
          <w:color w:val="auto"/>
          <w:sz w:val="32"/>
          <w:szCs w:val="32"/>
        </w:rPr>
        <w:t>应结合文明城市创建、城中村综合治理等工作，将电气火灾隐患整治、电气线路改造纳入为民办实事项目。老旧住宅小区、贫户、低保户、特困户、鳏寡孤独等特殊群体居住场所的电气检测、设施器材配备、电气线路改造经费，可采取政府购买服务、个人自筹、居民众筹等方式保障。鼓励住宅小区按照有关规定使用住宅专项维修基金改造老旧线路，相关部门应简化提取流程。居民租住自建房的电气检测、设施器材配备、电气线路改造经费，可采取政府以奖代补、房东出资等方式实施。</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0"/>
          <w:sz w:val="32"/>
          <w:szCs w:val="32"/>
        </w:rPr>
        <w:t>（六）巩固整治成效。</w:t>
      </w:r>
      <w:r>
        <w:rPr>
          <w:rFonts w:hint="eastAsia" w:ascii="仿宋_GB2312" w:hAnsi="仿宋_GB2312" w:eastAsia="仿宋_GB2312" w:cs="仿宋_GB2312"/>
          <w:b w:val="0"/>
          <w:bCs/>
          <w:color w:val="auto"/>
          <w:sz w:val="32"/>
          <w:szCs w:val="32"/>
        </w:rPr>
        <w:t>要建立完善电气火灾安全隐患常态化排查、信息互通、联合治理、会商研判等工作机制，及时总结整治工作经验做法和取得的成效，确保电气火灾隐患得到有效治理，社会面火灾形势持续稳定。</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各社区</w:t>
      </w:r>
      <w:r>
        <w:rPr>
          <w:rFonts w:hint="eastAsia" w:ascii="仿宋_GB2312" w:hAnsi="仿宋_GB2312" w:eastAsia="仿宋_GB2312" w:cs="仿宋_GB2312"/>
          <w:b w:val="0"/>
          <w:bCs/>
          <w:color w:val="auto"/>
          <w:sz w:val="32"/>
          <w:szCs w:val="32"/>
        </w:rPr>
        <w:t>在11月</w:t>
      </w:r>
      <w:r>
        <w:rPr>
          <w:rFonts w:hint="eastAsia" w:ascii="仿宋_GB2312" w:hAnsi="仿宋_GB2312" w:eastAsia="仿宋_GB2312" w:cs="仿宋_GB2312"/>
          <w:b w:val="0"/>
          <w:bCs/>
          <w:color w:val="auto"/>
          <w:sz w:val="32"/>
          <w:szCs w:val="32"/>
          <w:lang w:val="en-US" w:eastAsia="zh-CN"/>
        </w:rPr>
        <w:t>28</w:t>
      </w:r>
      <w:r>
        <w:rPr>
          <w:rFonts w:hint="eastAsia" w:ascii="仿宋_GB2312" w:hAnsi="仿宋_GB2312" w:eastAsia="仿宋_GB2312" w:cs="仿宋_GB2312"/>
          <w:b w:val="0"/>
          <w:bCs/>
          <w:color w:val="auto"/>
          <w:sz w:val="32"/>
          <w:szCs w:val="32"/>
        </w:rPr>
        <w:t>日前报送电气火灾隐患排查治理工作方案；</w:t>
      </w:r>
      <w:r>
        <w:rPr>
          <w:rFonts w:hint="eastAsia" w:ascii="仿宋_GB2312" w:hAnsi="仿宋_GB2312" w:eastAsia="仿宋_GB2312" w:cs="仿宋_GB2312"/>
          <w:b w:val="0"/>
          <w:bCs/>
          <w:color w:val="auto"/>
          <w:sz w:val="32"/>
          <w:szCs w:val="32"/>
          <w:lang w:eastAsia="zh-CN"/>
        </w:rPr>
        <w:t>各社区、各部门</w:t>
      </w:r>
      <w:r>
        <w:rPr>
          <w:rFonts w:hint="eastAsia" w:ascii="仿宋_GB2312" w:hAnsi="仿宋_GB2312" w:eastAsia="仿宋_GB2312" w:cs="仿宋_GB2312"/>
          <w:b w:val="0"/>
          <w:bCs/>
          <w:color w:val="auto"/>
          <w:sz w:val="32"/>
          <w:szCs w:val="32"/>
        </w:rPr>
        <w:t>在2023年1月</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日报送《电气火灾隐患排查（自查）表》（附件1）和《电气火灾隐患治理情况统计表》（附件2），在2023年6月</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日前报送工作总结和附件2。</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附件：1. 电气火灾隐患排查（自查）表</w:t>
      </w:r>
    </w:p>
    <w:p>
      <w:pPr>
        <w:keepNext w:val="0"/>
        <w:keepLines w:val="0"/>
        <w:pageBreakBefore w:val="0"/>
        <w:widowControl w:val="0"/>
        <w:numPr>
          <w:ilvl w:val="0"/>
          <w:numId w:val="1"/>
        </w:numPr>
        <w:kinsoku/>
        <w:wordWrap/>
        <w:overflowPunct/>
        <w:topLinePunct w:val="0"/>
        <w:autoSpaceDE/>
        <w:autoSpaceDN/>
        <w:bidi w:val="0"/>
        <w:spacing w:line="579" w:lineRule="exact"/>
        <w:ind w:firstLine="1520" w:firstLineChars="5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电气火灾隐患治理情况统计表</w:t>
      </w:r>
    </w:p>
    <w:p>
      <w:pPr>
        <w:keepNext w:val="0"/>
        <w:keepLines w:val="0"/>
        <w:pageBreakBefore w:val="0"/>
        <w:widowControl w:val="0"/>
        <w:kinsoku/>
        <w:wordWrap/>
        <w:overflowPunct/>
        <w:topLinePunct w:val="0"/>
        <w:autoSpaceDE/>
        <w:autoSpaceDN/>
        <w:bidi w:val="0"/>
        <w:adjustRightInd/>
        <w:snapToGrid/>
        <w:spacing w:line="579" w:lineRule="exact"/>
        <w:textAlignment w:val="auto"/>
        <w:rPr>
          <w:rStyle w:val="37"/>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Style w:val="37"/>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256" w:firstLineChars="1400"/>
        <w:textAlignment w:val="auto"/>
        <w:rPr>
          <w:rFonts w:hint="eastAsia" w:ascii="仿宋_GB2312" w:hAnsi="仿宋_GB2312" w:eastAsia="仿宋_GB2312" w:cs="仿宋_GB2312"/>
          <w:b w:val="0"/>
          <w:bCs/>
          <w:color w:val="auto"/>
          <w:sz w:val="32"/>
          <w:szCs w:val="32"/>
          <w:shd w:val="clear" w:color="auto" w:fill="FFFFFF"/>
        </w:rPr>
      </w:pPr>
      <w:r>
        <w:rPr>
          <w:rStyle w:val="37"/>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ind w:left="4128" w:leftChars="2128" w:firstLine="1216" w:firstLineChars="400"/>
        <w:textAlignment w:val="auto"/>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202</w:t>
      </w:r>
      <w:r>
        <w:rPr>
          <w:rFonts w:hint="eastAsia" w:ascii="仿宋_GB2312" w:hAnsi="仿宋_GB2312" w:eastAsia="仿宋_GB2312" w:cs="仿宋_GB2312"/>
          <w:b w:val="0"/>
          <w:bCs/>
          <w:color w:val="auto"/>
          <w:sz w:val="32"/>
          <w:szCs w:val="32"/>
          <w:shd w:val="clear" w:color="auto" w:fill="FFFFFF"/>
          <w:lang w:val="en-US" w:eastAsia="zh-CN"/>
        </w:rPr>
        <w:t>2</w:t>
      </w:r>
      <w:r>
        <w:rPr>
          <w:rFonts w:hint="eastAsia" w:ascii="仿宋_GB2312" w:hAnsi="仿宋_GB2312" w:eastAsia="仿宋_GB2312" w:cs="仿宋_GB2312"/>
          <w:b w:val="0"/>
          <w:bCs/>
          <w:color w:val="auto"/>
          <w:sz w:val="32"/>
          <w:szCs w:val="32"/>
          <w:shd w:val="clear" w:color="auto" w:fill="FFFFFF"/>
        </w:rPr>
        <w:t>年</w:t>
      </w:r>
      <w:r>
        <w:rPr>
          <w:rFonts w:hint="eastAsia" w:ascii="仿宋_GB2312" w:hAnsi="仿宋_GB2312" w:eastAsia="仿宋_GB2312" w:cs="仿宋_GB2312"/>
          <w:b w:val="0"/>
          <w:bCs/>
          <w:color w:val="auto"/>
          <w:sz w:val="32"/>
          <w:szCs w:val="32"/>
          <w:shd w:val="clear" w:color="auto" w:fill="FFFFFF"/>
          <w:lang w:val="en-US" w:eastAsia="zh-CN"/>
        </w:rPr>
        <w:t>12</w:t>
      </w:r>
      <w:r>
        <w:rPr>
          <w:rFonts w:hint="eastAsia" w:ascii="仿宋_GB2312" w:hAnsi="仿宋_GB2312" w:eastAsia="仿宋_GB2312" w:cs="仿宋_GB2312"/>
          <w:b w:val="0"/>
          <w:bCs/>
          <w:color w:val="auto"/>
          <w:sz w:val="32"/>
          <w:szCs w:val="32"/>
          <w:shd w:val="clear" w:color="auto" w:fill="FFFFFF"/>
        </w:rPr>
        <w:t>月</w:t>
      </w:r>
      <w:r>
        <w:rPr>
          <w:rFonts w:hint="eastAsia" w:ascii="仿宋_GB2312" w:hAnsi="仿宋_GB2312" w:eastAsia="仿宋_GB2312" w:cs="仿宋_GB2312"/>
          <w:b w:val="0"/>
          <w:bCs/>
          <w:color w:val="auto"/>
          <w:sz w:val="32"/>
          <w:szCs w:val="32"/>
          <w:shd w:val="clear" w:color="auto" w:fill="FFFFFF"/>
          <w:lang w:val="en-US" w:eastAsia="zh-CN"/>
        </w:rPr>
        <w:t>2</w:t>
      </w:r>
      <w:r>
        <w:rPr>
          <w:rFonts w:hint="eastAsia" w:ascii="仿宋_GB2312" w:hAnsi="仿宋_GB2312" w:eastAsia="仿宋_GB2312" w:cs="仿宋_GB2312"/>
          <w:b w:val="0"/>
          <w:bCs/>
          <w:color w:val="auto"/>
          <w:sz w:val="32"/>
          <w:szCs w:val="32"/>
          <w:shd w:val="clear" w:color="auto" w:fill="FFFFFF"/>
        </w:rPr>
        <w:t>日</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bidi="ar"/>
        </w:rPr>
        <w:t>(</w:t>
      </w:r>
      <w:r>
        <w:rPr>
          <w:rFonts w:hint="eastAsia" w:ascii="仿宋_GB2312" w:hAnsi="仿宋_GB2312" w:eastAsia="仿宋_GB2312" w:cs="仿宋_GB2312"/>
          <w:b w:val="0"/>
          <w:bCs/>
          <w:color w:val="auto"/>
          <w:sz w:val="32"/>
          <w:szCs w:val="32"/>
          <w:lang w:bidi="ar"/>
        </w:rPr>
        <w:t>联系人：</w:t>
      </w:r>
      <w:r>
        <w:rPr>
          <w:rFonts w:hint="eastAsia" w:ascii="仿宋_GB2312" w:hAnsi="仿宋_GB2312" w:eastAsia="仿宋_GB2312" w:cs="仿宋_GB2312"/>
          <w:b w:val="0"/>
          <w:bCs/>
          <w:color w:val="auto"/>
          <w:sz w:val="32"/>
          <w:szCs w:val="32"/>
          <w:lang w:eastAsia="zh-CN" w:bidi="ar"/>
        </w:rPr>
        <w:t>施秀云</w:t>
      </w:r>
      <w:r>
        <w:rPr>
          <w:rFonts w:hint="eastAsia" w:ascii="仿宋_GB2312" w:hAnsi="仿宋_GB2312" w:eastAsia="仿宋_GB2312" w:cs="仿宋_GB2312"/>
          <w:b w:val="0"/>
          <w:bCs/>
          <w:color w:val="auto"/>
          <w:sz w:val="32"/>
          <w:szCs w:val="32"/>
          <w:lang w:val="en-US" w:eastAsia="zh-CN" w:bidi="ar"/>
        </w:rPr>
        <w:t xml:space="preserve">  电话：22588760  </w:t>
      </w:r>
      <w:r>
        <w:rPr>
          <w:rFonts w:hint="eastAsia" w:ascii="仿宋_GB2312" w:hAnsi="仿宋_GB2312" w:eastAsia="仿宋_GB2312" w:cs="仿宋_GB2312"/>
          <w:b w:val="0"/>
          <w:bCs/>
          <w:color w:val="auto"/>
          <w:sz w:val="32"/>
          <w:szCs w:val="32"/>
          <w:lang w:bidi="ar"/>
        </w:rPr>
        <w:t>邮箱：</w:t>
      </w:r>
      <w:r>
        <w:rPr>
          <w:rFonts w:hint="eastAsia" w:ascii="仿宋_GB2312" w:hAnsi="仿宋_GB2312" w:eastAsia="仿宋_GB2312" w:cs="仿宋_GB2312"/>
          <w:b w:val="0"/>
          <w:bCs/>
          <w:color w:val="auto"/>
          <w:sz w:val="32"/>
          <w:szCs w:val="32"/>
          <w:lang w:val="en-US" w:eastAsia="zh-CN" w:bidi="ar"/>
        </w:rPr>
        <w:t>2636339069</w:t>
      </w:r>
      <w:r>
        <w:rPr>
          <w:rFonts w:hint="eastAsia" w:ascii="仿宋_GB2312" w:hAnsi="仿宋_GB2312" w:eastAsia="仿宋_GB2312" w:cs="仿宋_GB2312"/>
          <w:b w:val="0"/>
          <w:bCs/>
          <w:color w:val="auto"/>
          <w:sz w:val="32"/>
          <w:szCs w:val="32"/>
          <w:lang w:bidi="ar"/>
        </w:rPr>
        <w:t>@qq.com</w:t>
      </w:r>
      <w:r>
        <w:rPr>
          <w:rFonts w:hint="eastAsia" w:ascii="仿宋_GB2312" w:hAnsi="仿宋_GB2312" w:eastAsia="仿宋_GB2312" w:cs="仿宋_GB2312"/>
          <w:b w:val="0"/>
          <w:bCs/>
          <w:color w:val="auto"/>
          <w:sz w:val="32"/>
          <w:szCs w:val="32"/>
          <w:lang w:eastAsia="zh-CN" w:bidi="ar"/>
        </w:rPr>
        <w:t>）</w:t>
      </w:r>
    </w:p>
    <w:p>
      <w:pPr>
        <w:keepNext w:val="0"/>
        <w:keepLines w:val="0"/>
        <w:pageBreakBefore w:val="0"/>
        <w:widowControl w:val="0"/>
        <w:kinsoku/>
        <w:wordWrap/>
        <w:overflowPunct/>
        <w:topLinePunct w:val="0"/>
        <w:autoSpaceDE/>
        <w:autoSpaceDN/>
        <w:bidi w:val="0"/>
        <w:spacing w:line="579" w:lineRule="exact"/>
        <w:ind w:firstLine="608" w:firstLineChars="200"/>
        <w:textAlignment w:val="auto"/>
        <w:rPr>
          <w:rFonts w:hint="eastAsia" w:ascii="仿宋_GB2312" w:hAnsi="仿宋_GB2312" w:eastAsia="仿宋_GB2312" w:cs="仿宋_GB2312"/>
          <w:b w:val="0"/>
          <w:bCs/>
          <w:color w:val="auto"/>
          <w:sz w:val="32"/>
          <w:szCs w:val="32"/>
        </w:rPr>
      </w:pPr>
    </w:p>
    <w:p>
      <w:pPr>
        <w:tabs>
          <w:tab w:val="left" w:pos="1080"/>
        </w:tabs>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spacing w:line="400" w:lineRule="atLeast"/>
        <w:rPr>
          <w:rFonts w:eastAsia="黑体"/>
          <w:color w:val="000000"/>
          <w:kern w:val="0"/>
        </w:rPr>
      </w:pPr>
    </w:p>
    <w:p>
      <w:pPr>
        <w:widowControl/>
        <w:spacing w:line="400" w:lineRule="atLeast"/>
        <w:rPr>
          <w:rFonts w:eastAsia="黑体"/>
          <w:color w:val="000000"/>
          <w:kern w:val="0"/>
        </w:rPr>
      </w:pPr>
    </w:p>
    <w:p>
      <w:pPr>
        <w:widowControl/>
        <w:spacing w:line="400" w:lineRule="atLeast"/>
        <w:rPr>
          <w:rFonts w:eastAsia="黑体"/>
          <w:color w:val="000000"/>
          <w:kern w:val="0"/>
        </w:rPr>
      </w:pPr>
    </w:p>
    <w:p>
      <w:pPr>
        <w:widowControl/>
        <w:spacing w:line="400" w:lineRule="atLeast"/>
        <w:rPr>
          <w:rFonts w:eastAsia="黑体"/>
          <w:color w:val="000000"/>
          <w:kern w:val="0"/>
        </w:rPr>
      </w:pPr>
    </w:p>
    <w:p>
      <w:pPr>
        <w:widowControl/>
        <w:spacing w:line="400" w:lineRule="atLeast"/>
        <w:rPr>
          <w:rFonts w:eastAsia="黑体"/>
          <w:color w:val="000000"/>
          <w:kern w:val="0"/>
        </w:rPr>
      </w:pPr>
    </w:p>
    <w:p>
      <w:pPr>
        <w:widowControl/>
        <w:spacing w:line="400" w:lineRule="atLeast"/>
        <w:rPr>
          <w:rFonts w:hint="eastAsia" w:ascii="黑体" w:hAnsi="黑体" w:eastAsia="黑体" w:cs="黑体"/>
          <w:color w:val="000000"/>
          <w:kern w:val="0"/>
          <w:sz w:val="32"/>
          <w:szCs w:val="32"/>
        </w:rPr>
      </w:pPr>
    </w:p>
    <w:p>
      <w:pPr>
        <w:widowControl/>
        <w:spacing w:line="400" w:lineRule="atLeas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400" w:lineRule="atLeast"/>
        <w:jc w:val="center"/>
        <w:rPr>
          <w:rFonts w:eastAsia="方正小标宋简体"/>
          <w:snapToGrid w:val="0"/>
          <w:color w:val="000000"/>
          <w:kern w:val="0"/>
          <w:sz w:val="44"/>
          <w:szCs w:val="44"/>
        </w:rPr>
      </w:pPr>
      <w:r>
        <w:rPr>
          <w:rFonts w:eastAsia="方正小标宋简体"/>
          <w:snapToGrid w:val="0"/>
          <w:color w:val="000000"/>
          <w:kern w:val="0"/>
          <w:sz w:val="44"/>
          <w:szCs w:val="44"/>
        </w:rPr>
        <w:t>电气火灾隐患排查（自查）表</w:t>
      </w:r>
    </w:p>
    <w:p>
      <w:pPr>
        <w:widowControl/>
        <w:spacing w:line="400" w:lineRule="atLeast"/>
        <w:rPr>
          <w:rFonts w:eastAsia="宋体"/>
          <w:color w:val="000000"/>
          <w:kern w:val="0"/>
        </w:rPr>
      </w:pPr>
      <w:r>
        <w:rPr>
          <w:rFonts w:eastAsia="楷体_GB2312"/>
          <w:color w:val="000000"/>
          <w:kern w:val="0"/>
        </w:rPr>
        <w:t>住宅地址：                        排查日期：</w:t>
      </w:r>
      <w:r>
        <w:rPr>
          <w:rFonts w:eastAsia="宋体"/>
          <w:color w:val="000000"/>
          <w:kern w:val="0"/>
        </w:rPr>
        <w:t>    </w:t>
      </w:r>
      <w:r>
        <w:rPr>
          <w:rFonts w:eastAsia="楷体_GB2312"/>
          <w:color w:val="000000"/>
          <w:kern w:val="0"/>
        </w:rPr>
        <w:t xml:space="preserve">年  月  日 </w:t>
      </w:r>
      <w:r>
        <w:rPr>
          <w:rFonts w:eastAsia="宋体"/>
          <w:color w:val="000000"/>
          <w:kern w:val="0"/>
        </w:rPr>
        <w:t xml:space="preserve">        　</w:t>
      </w:r>
    </w:p>
    <w:tbl>
      <w:tblPr>
        <w:tblStyle w:val="13"/>
        <w:tblW w:w="0" w:type="auto"/>
        <w:jc w:val="center"/>
        <w:tblLayout w:type="fixed"/>
        <w:tblCellMar>
          <w:top w:w="0" w:type="dxa"/>
          <w:left w:w="0" w:type="dxa"/>
          <w:bottom w:w="0" w:type="dxa"/>
          <w:right w:w="0" w:type="dxa"/>
        </w:tblCellMar>
      </w:tblPr>
      <w:tblGrid>
        <w:gridCol w:w="1453"/>
        <w:gridCol w:w="6901"/>
        <w:gridCol w:w="1563"/>
      </w:tblGrid>
      <w:tr>
        <w:tblPrEx>
          <w:tblCellMar>
            <w:top w:w="0" w:type="dxa"/>
            <w:left w:w="0" w:type="dxa"/>
            <w:bottom w:w="0" w:type="dxa"/>
            <w:right w:w="0" w:type="dxa"/>
          </w:tblCellMar>
        </w:tblPrEx>
        <w:trPr>
          <w:trHeight w:val="519" w:hRule="atLeast"/>
          <w:jc w:val="center"/>
        </w:trPr>
        <w:tc>
          <w:tcPr>
            <w:tcW w:w="14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eastAsia="楷体_GB2312"/>
                <w:color w:val="000000"/>
                <w:kern w:val="0"/>
              </w:rPr>
            </w:pPr>
            <w:r>
              <w:rPr>
                <w:rFonts w:eastAsia="楷体_GB2312"/>
                <w:color w:val="000000"/>
                <w:kern w:val="0"/>
              </w:rPr>
              <w:t>检查项目</w:t>
            </w: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textAlignment w:val="center"/>
              <w:rPr>
                <w:rFonts w:eastAsia="楷体_GB2312"/>
                <w:color w:val="000000"/>
                <w:kern w:val="0"/>
              </w:rPr>
            </w:pPr>
            <w:r>
              <w:rPr>
                <w:rFonts w:eastAsia="楷体_GB2312"/>
                <w:color w:val="000000"/>
                <w:kern w:val="0"/>
              </w:rPr>
              <w:t>排查内容</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textAlignment w:val="center"/>
              <w:rPr>
                <w:rFonts w:eastAsia="楷体_GB2312"/>
                <w:color w:val="000000"/>
                <w:kern w:val="0"/>
              </w:rPr>
            </w:pPr>
            <w:r>
              <w:rPr>
                <w:rFonts w:eastAsia="楷体_GB2312"/>
                <w:color w:val="000000"/>
                <w:kern w:val="0"/>
              </w:rPr>
              <w:t>排查情况</w:t>
            </w:r>
          </w:p>
        </w:tc>
      </w:tr>
      <w:tr>
        <w:tblPrEx>
          <w:tblCellMar>
            <w:top w:w="0" w:type="dxa"/>
            <w:left w:w="0" w:type="dxa"/>
            <w:bottom w:w="0" w:type="dxa"/>
            <w:right w:w="0" w:type="dxa"/>
          </w:tblCellMar>
        </w:tblPrEx>
        <w:trPr>
          <w:trHeight w:val="304" w:hRule="atLeast"/>
          <w:jc w:val="center"/>
        </w:trPr>
        <w:tc>
          <w:tcPr>
            <w:tcW w:w="1453"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eastAsia="楷体_GB2312"/>
                <w:color w:val="000000"/>
                <w:kern w:val="0"/>
                <w:sz w:val="30"/>
                <w:szCs w:val="30"/>
              </w:rPr>
            </w:pPr>
            <w:r>
              <w:rPr>
                <w:rFonts w:eastAsia="楷体_GB2312"/>
                <w:color w:val="000000"/>
                <w:kern w:val="0"/>
                <w:sz w:val="30"/>
                <w:szCs w:val="30"/>
              </w:rPr>
              <w:t>正确选用电源线</w:t>
            </w: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进线电源有带漏电保护功能的空气开关</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531" w:hRule="atLeast"/>
          <w:jc w:val="center"/>
        </w:trPr>
        <w:tc>
          <w:tcPr>
            <w:tcW w:w="145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left"/>
              <w:rPr>
                <w:rFonts w:eastAsia="楷体_GB2312"/>
                <w:color w:val="000000"/>
                <w:kern w:val="0"/>
                <w:sz w:val="30"/>
                <w:szCs w:val="30"/>
              </w:rPr>
            </w:pP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室内电线选用铜导线截面积不小于2.5mm</w:t>
            </w:r>
            <w:r>
              <w:rPr>
                <w:color w:val="000000"/>
                <w:kern w:val="0"/>
                <w:sz w:val="30"/>
                <w:szCs w:val="30"/>
                <w:vertAlign w:val="superscript"/>
              </w:rPr>
              <w:t>2</w:t>
            </w:r>
            <w:r>
              <w:rPr>
                <w:color w:val="000000"/>
                <w:kern w:val="0"/>
                <w:sz w:val="30"/>
                <w:szCs w:val="30"/>
              </w:rPr>
              <w:t>，铝导线截面积不小于4.0mm</w:t>
            </w:r>
            <w:r>
              <w:rPr>
                <w:color w:val="000000"/>
                <w:kern w:val="0"/>
                <w:sz w:val="30"/>
                <w:szCs w:val="30"/>
                <w:vertAlign w:val="superscript"/>
              </w:rPr>
              <w:t>2</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190" w:hRule="atLeast"/>
          <w:jc w:val="center"/>
        </w:trPr>
        <w:tc>
          <w:tcPr>
            <w:tcW w:w="145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left"/>
              <w:rPr>
                <w:rFonts w:eastAsia="楷体_GB2312"/>
                <w:color w:val="000000"/>
                <w:kern w:val="0"/>
                <w:sz w:val="30"/>
                <w:szCs w:val="30"/>
              </w:rPr>
            </w:pP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电源插座及接线板不得使用伪劣产品</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910" w:hRule="atLeast"/>
          <w:jc w:val="center"/>
        </w:trPr>
        <w:tc>
          <w:tcPr>
            <w:tcW w:w="1453"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eastAsia="楷体_GB2312"/>
                <w:color w:val="000000"/>
                <w:kern w:val="0"/>
                <w:sz w:val="30"/>
                <w:szCs w:val="30"/>
              </w:rPr>
            </w:pPr>
            <w:r>
              <w:rPr>
                <w:rFonts w:eastAsia="楷体_GB2312"/>
                <w:color w:val="000000"/>
                <w:kern w:val="0"/>
                <w:sz w:val="30"/>
                <w:szCs w:val="30"/>
              </w:rPr>
              <w:t>正确使用家用电器</w:t>
            </w: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电热水器和空调等大功率电器宜敷设截面积4.0mm</w:t>
            </w:r>
            <w:r>
              <w:rPr>
                <w:color w:val="000000"/>
                <w:kern w:val="0"/>
                <w:sz w:val="30"/>
                <w:szCs w:val="30"/>
                <w:vertAlign w:val="superscript"/>
              </w:rPr>
              <w:t>2</w:t>
            </w:r>
            <w:r>
              <w:rPr>
                <w:color w:val="000000"/>
                <w:kern w:val="0"/>
                <w:sz w:val="30"/>
                <w:szCs w:val="30"/>
              </w:rPr>
              <w:t>的铜导线或6.0mm</w:t>
            </w:r>
            <w:r>
              <w:rPr>
                <w:color w:val="000000"/>
                <w:kern w:val="0"/>
                <w:sz w:val="30"/>
                <w:szCs w:val="30"/>
                <w:vertAlign w:val="superscript"/>
              </w:rPr>
              <w:t>2</w:t>
            </w:r>
            <w:r>
              <w:rPr>
                <w:color w:val="000000"/>
                <w:kern w:val="0"/>
                <w:sz w:val="30"/>
                <w:szCs w:val="30"/>
              </w:rPr>
              <w:t>的铝导线，同时安装相应的插座和空开</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896" w:hRule="atLeast"/>
          <w:jc w:val="center"/>
        </w:trPr>
        <w:tc>
          <w:tcPr>
            <w:tcW w:w="145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left"/>
              <w:rPr>
                <w:rFonts w:eastAsia="宋体"/>
                <w:color w:val="000000"/>
                <w:kern w:val="0"/>
                <w:sz w:val="30"/>
                <w:szCs w:val="30"/>
              </w:rPr>
            </w:pP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不能用电炉、红外线取暖器、灯泡等器具烘烤衣物或其他可燃物</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805" w:hRule="atLeast"/>
          <w:jc w:val="center"/>
        </w:trPr>
        <w:tc>
          <w:tcPr>
            <w:tcW w:w="145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left"/>
              <w:rPr>
                <w:rFonts w:eastAsia="宋体"/>
                <w:color w:val="000000"/>
                <w:kern w:val="0"/>
                <w:sz w:val="30"/>
                <w:szCs w:val="30"/>
              </w:rPr>
            </w:pP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不得用铁丝或铜丝代替熔丝。不要私拉乱接电线，不得在电线上系、托或压物品，电线出现老化后应及时更换</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531" w:hRule="atLeast"/>
          <w:jc w:val="center"/>
        </w:trPr>
        <w:tc>
          <w:tcPr>
            <w:tcW w:w="145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left"/>
              <w:rPr>
                <w:rFonts w:eastAsia="宋体"/>
                <w:color w:val="000000"/>
                <w:kern w:val="0"/>
                <w:sz w:val="30"/>
                <w:szCs w:val="30"/>
              </w:rPr>
            </w:pP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电热毯不能折叠、受潮且通电时间不宜过长，养成人离开时关闭电源的习惯</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759" w:hRule="atLeast"/>
          <w:jc w:val="center"/>
        </w:trPr>
        <w:tc>
          <w:tcPr>
            <w:tcW w:w="145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left"/>
              <w:rPr>
                <w:rFonts w:eastAsia="宋体"/>
                <w:color w:val="000000"/>
                <w:kern w:val="0"/>
                <w:sz w:val="30"/>
                <w:szCs w:val="30"/>
              </w:rPr>
            </w:pP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使用电热器时严禁直接放置在可燃物（木质、塑料等）制作的台板上。电热器下面应放置瓷砖、石棉板等非易燃物制作的垫底，或设置专用的支架</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594" w:hRule="atLeast"/>
          <w:jc w:val="center"/>
        </w:trPr>
        <w:tc>
          <w:tcPr>
            <w:tcW w:w="145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left"/>
              <w:rPr>
                <w:rFonts w:eastAsia="宋体"/>
                <w:color w:val="000000"/>
                <w:kern w:val="0"/>
                <w:sz w:val="30"/>
                <w:szCs w:val="30"/>
              </w:rPr>
            </w:pP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检查家用电器线路是否老化，各种灯座、开关、插座表面是否氧化发黑积碳，防止发生接触不良造成跳火花引燃周围的易燃物或易燃气体而失火</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r>
        <w:tblPrEx>
          <w:tblCellMar>
            <w:top w:w="0" w:type="dxa"/>
            <w:left w:w="0" w:type="dxa"/>
            <w:bottom w:w="0" w:type="dxa"/>
            <w:right w:w="0" w:type="dxa"/>
          </w:tblCellMar>
        </w:tblPrEx>
        <w:trPr>
          <w:trHeight w:val="1837" w:hRule="atLeast"/>
          <w:jc w:val="center"/>
        </w:trPr>
        <w:tc>
          <w:tcPr>
            <w:tcW w:w="145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left"/>
              <w:rPr>
                <w:rFonts w:eastAsia="宋体"/>
                <w:color w:val="000000"/>
                <w:kern w:val="0"/>
                <w:sz w:val="30"/>
                <w:szCs w:val="30"/>
              </w:rPr>
            </w:pPr>
          </w:p>
        </w:tc>
        <w:tc>
          <w:tcPr>
            <w:tcW w:w="69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textAlignment w:val="center"/>
              <w:rPr>
                <w:color w:val="000000"/>
                <w:kern w:val="0"/>
                <w:sz w:val="30"/>
                <w:szCs w:val="30"/>
              </w:rPr>
            </w:pPr>
            <w:r>
              <w:rPr>
                <w:color w:val="000000"/>
                <w:kern w:val="0"/>
                <w:sz w:val="30"/>
                <w:szCs w:val="30"/>
              </w:rPr>
              <w:t>电动自行车是否具有生产许可证，是否具备短路保护功能；是否在建筑物首层、门厅、疏散通道、楼梯间以及家庭入户处停放；充电线路是否固定敷设，是否长时间充电（原则上不超过6-8小时）</w:t>
            </w:r>
          </w:p>
        </w:tc>
        <w:tc>
          <w:tcPr>
            <w:tcW w:w="156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eastAsia="宋体"/>
                <w:color w:val="000000"/>
                <w:kern w:val="0"/>
                <w:sz w:val="30"/>
                <w:szCs w:val="30"/>
              </w:rPr>
            </w:pPr>
          </w:p>
        </w:tc>
      </w:tr>
    </w:tbl>
    <w:p>
      <w:pPr>
        <w:widowControl/>
        <w:spacing w:line="400" w:lineRule="exact"/>
        <w:rPr>
          <w:rFonts w:eastAsia="楷体_GB2312"/>
          <w:color w:val="000000"/>
          <w:kern w:val="0"/>
          <w:sz w:val="30"/>
          <w:szCs w:val="30"/>
        </w:rPr>
        <w:sectPr>
          <w:footerReference r:id="rId3" w:type="default"/>
          <w:footerReference r:id="rId4" w:type="even"/>
          <w:pgSz w:w="11906" w:h="16838"/>
          <w:pgMar w:top="2098" w:right="1474" w:bottom="1985" w:left="1587" w:header="851" w:footer="1247" w:gutter="0"/>
          <w:cols w:space="720" w:num="1"/>
          <w:docGrid w:type="linesAndChars" w:linePitch="618" w:charSpace="-3336"/>
        </w:sectPr>
      </w:pPr>
      <w:r>
        <w:rPr>
          <w:rFonts w:eastAsia="楷体_GB2312"/>
          <w:color w:val="000000"/>
          <w:kern w:val="0"/>
          <w:sz w:val="30"/>
          <w:szCs w:val="30"/>
        </w:rPr>
        <w:t xml:space="preserve">检查人：             检查时间:        　　     户主（签字）： </w:t>
      </w:r>
    </w:p>
    <w:p>
      <w:pPr>
        <w:widowControl/>
        <w:spacing w:line="600" w:lineRule="exact"/>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widowControl/>
        <w:spacing w:line="600" w:lineRule="exact"/>
        <w:jc w:val="center"/>
        <w:textAlignment w:val="center"/>
        <w:rPr>
          <w:rFonts w:eastAsia="方正小标宋简体"/>
          <w:snapToGrid w:val="0"/>
          <w:color w:val="000000"/>
          <w:kern w:val="0"/>
          <w:sz w:val="44"/>
          <w:szCs w:val="44"/>
        </w:rPr>
      </w:pPr>
      <w:r>
        <w:rPr>
          <w:rFonts w:eastAsia="方正小标宋简体"/>
          <w:snapToGrid w:val="0"/>
          <w:color w:val="000000"/>
          <w:kern w:val="0"/>
          <w:sz w:val="44"/>
          <w:szCs w:val="44"/>
        </w:rPr>
        <w:t>电气火灾隐患治理情况统计表</w:t>
      </w:r>
    </w:p>
    <w:p>
      <w:pPr>
        <w:spacing w:line="500" w:lineRule="exact"/>
        <w:jc w:val="left"/>
        <w:rPr>
          <w:rFonts w:eastAsia="宋体"/>
          <w:color w:val="000000"/>
          <w:sz w:val="28"/>
          <w:szCs w:val="28"/>
        </w:rPr>
      </w:pPr>
      <w:r>
        <w:rPr>
          <w:rFonts w:eastAsia="宋体"/>
          <w:color w:val="000000"/>
          <w:sz w:val="21"/>
          <w:szCs w:val="21"/>
        </w:rPr>
        <w:t>填报时间：    年   月   日</w:t>
      </w:r>
    </w:p>
    <w:tbl>
      <w:tblPr>
        <w:tblStyle w:val="13"/>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33"/>
        <w:gridCol w:w="1418"/>
        <w:gridCol w:w="1701"/>
        <w:gridCol w:w="1502"/>
        <w:gridCol w:w="1559"/>
        <w:gridCol w:w="1117"/>
        <w:gridCol w:w="143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sz w:val="18"/>
                <w:szCs w:val="18"/>
              </w:rPr>
            </w:pPr>
            <w:r>
              <w:rPr>
                <w:rFonts w:eastAsia="黑体"/>
                <w:color w:val="000000"/>
                <w:sz w:val="18"/>
                <w:szCs w:val="18"/>
              </w:rPr>
              <w:t>街道/部门</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排查老旧住宅</w:t>
            </w:r>
          </w:p>
          <w:p>
            <w:pPr>
              <w:spacing w:line="240" w:lineRule="exact"/>
              <w:jc w:val="center"/>
              <w:rPr>
                <w:rFonts w:eastAsia="黑体"/>
                <w:color w:val="000000"/>
                <w:sz w:val="18"/>
                <w:szCs w:val="18"/>
              </w:rPr>
            </w:pPr>
            <w:r>
              <w:rPr>
                <w:rFonts w:eastAsia="黑体"/>
                <w:color w:val="000000"/>
                <w:sz w:val="18"/>
                <w:szCs w:val="18"/>
              </w:rPr>
              <w:t>（户）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排查居民住宅</w:t>
            </w:r>
          </w:p>
          <w:p>
            <w:pPr>
              <w:spacing w:line="240" w:lineRule="exact"/>
              <w:jc w:val="center"/>
              <w:rPr>
                <w:rFonts w:eastAsia="黑体"/>
                <w:color w:val="000000"/>
                <w:sz w:val="18"/>
                <w:szCs w:val="18"/>
              </w:rPr>
            </w:pPr>
            <w:r>
              <w:rPr>
                <w:rFonts w:eastAsia="黑体"/>
                <w:color w:val="000000"/>
                <w:sz w:val="18"/>
                <w:szCs w:val="18"/>
              </w:rPr>
              <w:t>（户）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开展电气防火</w:t>
            </w:r>
          </w:p>
          <w:p>
            <w:pPr>
              <w:spacing w:line="240" w:lineRule="exact"/>
              <w:jc w:val="center"/>
              <w:rPr>
                <w:rFonts w:eastAsia="黑体"/>
                <w:color w:val="000000"/>
                <w:sz w:val="18"/>
                <w:szCs w:val="18"/>
              </w:rPr>
            </w:pPr>
            <w:r>
              <w:rPr>
                <w:rFonts w:eastAsia="黑体"/>
                <w:color w:val="000000"/>
                <w:sz w:val="18"/>
                <w:szCs w:val="18"/>
              </w:rPr>
              <w:t>检测（户）</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安装漏电保护</w:t>
            </w:r>
          </w:p>
          <w:p>
            <w:pPr>
              <w:spacing w:line="240" w:lineRule="exact"/>
              <w:jc w:val="center"/>
              <w:rPr>
                <w:rFonts w:eastAsia="黑体"/>
                <w:color w:val="000000"/>
                <w:sz w:val="18"/>
                <w:szCs w:val="18"/>
              </w:rPr>
            </w:pPr>
            <w:r>
              <w:rPr>
                <w:rFonts w:eastAsia="黑体"/>
                <w:color w:val="000000"/>
                <w:sz w:val="18"/>
                <w:szCs w:val="18"/>
              </w:rPr>
              <w:t>装置（个）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安装烟感报警器</w:t>
            </w:r>
          </w:p>
          <w:p>
            <w:pPr>
              <w:spacing w:line="240" w:lineRule="exact"/>
              <w:jc w:val="center"/>
              <w:rPr>
                <w:rFonts w:eastAsia="黑体"/>
                <w:color w:val="000000"/>
                <w:sz w:val="18"/>
                <w:szCs w:val="18"/>
              </w:rPr>
            </w:pPr>
            <w:r>
              <w:rPr>
                <w:rFonts w:eastAsia="黑体"/>
                <w:color w:val="000000"/>
                <w:sz w:val="18"/>
                <w:szCs w:val="18"/>
              </w:rPr>
              <w:t>（个）</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配置灭火器</w:t>
            </w:r>
          </w:p>
          <w:p>
            <w:pPr>
              <w:spacing w:line="240" w:lineRule="exact"/>
              <w:jc w:val="center"/>
              <w:rPr>
                <w:rFonts w:eastAsia="黑体"/>
                <w:color w:val="000000"/>
                <w:sz w:val="18"/>
                <w:szCs w:val="18"/>
              </w:rPr>
            </w:pPr>
            <w:r>
              <w:rPr>
                <w:rFonts w:eastAsia="黑体"/>
                <w:color w:val="000000"/>
                <w:sz w:val="18"/>
                <w:szCs w:val="18"/>
              </w:rPr>
              <w:t>（个）</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配备消防逃生</w:t>
            </w:r>
          </w:p>
          <w:p>
            <w:pPr>
              <w:spacing w:line="240" w:lineRule="exact"/>
              <w:jc w:val="center"/>
              <w:rPr>
                <w:rFonts w:eastAsia="黑体"/>
                <w:color w:val="000000"/>
                <w:sz w:val="18"/>
                <w:szCs w:val="18"/>
              </w:rPr>
            </w:pPr>
            <w:r>
              <w:rPr>
                <w:rFonts w:eastAsia="黑体"/>
                <w:color w:val="000000"/>
                <w:sz w:val="18"/>
                <w:szCs w:val="18"/>
              </w:rPr>
              <w:t>面罩（个）</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改造表下</w:t>
            </w:r>
          </w:p>
          <w:p>
            <w:pPr>
              <w:spacing w:line="240" w:lineRule="exact"/>
              <w:jc w:val="center"/>
              <w:rPr>
                <w:rFonts w:eastAsia="黑体"/>
                <w:color w:val="000000"/>
                <w:sz w:val="18"/>
                <w:szCs w:val="18"/>
              </w:rPr>
            </w:pPr>
            <w:r>
              <w:rPr>
                <w:rFonts w:eastAsia="黑体"/>
                <w:color w:val="000000"/>
                <w:sz w:val="18"/>
                <w:szCs w:val="18"/>
              </w:rPr>
              <w:t>电气线路（户）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黑体"/>
                <w:color w:val="000000"/>
                <w:sz w:val="18"/>
                <w:szCs w:val="18"/>
              </w:rPr>
            </w:pPr>
            <w:r>
              <w:rPr>
                <w:rFonts w:eastAsia="黑体"/>
                <w:color w:val="000000"/>
                <w:sz w:val="18"/>
                <w:szCs w:val="18"/>
              </w:rPr>
              <w:t>专项补助资金</w:t>
            </w:r>
          </w:p>
          <w:p>
            <w:pPr>
              <w:spacing w:line="240" w:lineRule="exact"/>
              <w:jc w:val="center"/>
              <w:rPr>
                <w:rFonts w:eastAsia="黑体"/>
                <w:color w:val="000000"/>
                <w:sz w:val="18"/>
                <w:szCs w:val="18"/>
              </w:rPr>
            </w:pPr>
            <w:r>
              <w:rPr>
                <w:rFonts w:eastAsia="黑体"/>
                <w:color w:val="000000"/>
                <w:sz w:val="18"/>
                <w:szCs w:val="1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东海街道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城东街道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北峰街道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华大街道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东湖街道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丰泽街道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泉秀街道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清源街道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color w:val="000000"/>
                <w:sz w:val="18"/>
                <w:szCs w:val="18"/>
              </w:rPr>
            </w:pPr>
            <w:r>
              <w:rPr>
                <w:rFonts w:eastAsia="宋体"/>
                <w:color w:val="000000"/>
                <w:sz w:val="18"/>
                <w:szCs w:val="18"/>
              </w:rPr>
              <w:t>城区供电</w:t>
            </w:r>
          </w:p>
          <w:p>
            <w:pPr>
              <w:spacing w:line="240" w:lineRule="exact"/>
              <w:jc w:val="center"/>
              <w:rPr>
                <w:rFonts w:eastAsia="宋体"/>
                <w:color w:val="000000"/>
                <w:sz w:val="18"/>
                <w:szCs w:val="18"/>
              </w:rPr>
            </w:pPr>
            <w:r>
              <w:rPr>
                <w:rFonts w:eastAsia="宋体"/>
                <w:color w:val="000000"/>
                <w:sz w:val="18"/>
                <w:szCs w:val="18"/>
              </w:rPr>
              <w:t>服务中心</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color w:val="000000"/>
                <w:sz w:val="18"/>
                <w:szCs w:val="18"/>
              </w:rPr>
            </w:pPr>
            <w:r>
              <w:rPr>
                <w:rFonts w:eastAsia="宋体"/>
                <w:color w:val="000000"/>
                <w:sz w:val="18"/>
                <w:szCs w:val="18"/>
              </w:rPr>
              <w:t>工信科技局</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公安分局</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民政局</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r>
              <w:rPr>
                <w:rFonts w:eastAsia="宋体"/>
                <w:color w:val="000000"/>
                <w:sz w:val="18"/>
                <w:szCs w:val="18"/>
              </w:rPr>
              <w:t>住建局</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color w:val="000000"/>
                <w:sz w:val="18"/>
                <w:szCs w:val="18"/>
              </w:rPr>
            </w:pPr>
            <w:r>
              <w:rPr>
                <w:rFonts w:eastAsia="宋体"/>
                <w:color w:val="000000"/>
                <w:sz w:val="18"/>
                <w:szCs w:val="18"/>
              </w:rPr>
              <w:t>农业农村和水利局</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color w:val="000000"/>
                <w:sz w:val="18"/>
                <w:szCs w:val="18"/>
              </w:rPr>
            </w:pPr>
            <w:r>
              <w:rPr>
                <w:rFonts w:eastAsia="宋体"/>
                <w:color w:val="000000"/>
                <w:sz w:val="18"/>
                <w:szCs w:val="18"/>
              </w:rPr>
              <w:t>商务局</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color w:val="000000"/>
                <w:sz w:val="18"/>
                <w:szCs w:val="18"/>
              </w:rPr>
            </w:pPr>
            <w:r>
              <w:rPr>
                <w:rFonts w:eastAsia="宋体"/>
                <w:color w:val="000000"/>
                <w:sz w:val="18"/>
                <w:szCs w:val="18"/>
              </w:rPr>
              <w:t>文体旅游局</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color w:val="000000"/>
                <w:sz w:val="18"/>
                <w:szCs w:val="18"/>
              </w:rPr>
            </w:pPr>
            <w:r>
              <w:rPr>
                <w:rFonts w:eastAsia="宋体"/>
                <w:color w:val="000000"/>
                <w:sz w:val="18"/>
                <w:szCs w:val="18"/>
              </w:rPr>
              <w:t>市场监管局</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color w:val="000000"/>
                <w:sz w:val="18"/>
                <w:szCs w:val="18"/>
              </w:rPr>
            </w:pPr>
            <w:r>
              <w:rPr>
                <w:rFonts w:eastAsia="宋体"/>
                <w:color w:val="000000"/>
                <w:sz w:val="18"/>
                <w:szCs w:val="18"/>
              </w:rPr>
              <w:t>消防救援大队</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000000"/>
                <w:sz w:val="21"/>
                <w:szCs w:val="21"/>
              </w:rPr>
            </w:pPr>
            <w:r>
              <w:rPr>
                <w:rFonts w:eastAsia="宋体"/>
                <w:color w:val="000000"/>
                <w:sz w:val="21"/>
                <w:szCs w:val="21"/>
              </w:rPr>
              <w:t>备  注</w:t>
            </w:r>
          </w:p>
        </w:tc>
        <w:tc>
          <w:tcPr>
            <w:tcW w:w="12899"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宋体"/>
                <w:color w:val="000000"/>
                <w:sz w:val="21"/>
                <w:szCs w:val="21"/>
              </w:rPr>
            </w:pPr>
            <w:r>
              <w:rPr>
                <w:rFonts w:eastAsia="宋体"/>
                <w:color w:val="000000"/>
                <w:sz w:val="21"/>
                <w:szCs w:val="21"/>
              </w:rPr>
              <w:t xml:space="preserve">1.本表2023年1月6日、6月5日分别报送区专项整治领导小组办公室。 </w:t>
            </w:r>
          </w:p>
          <w:p>
            <w:pPr>
              <w:spacing w:line="240" w:lineRule="exact"/>
              <w:rPr>
                <w:rFonts w:eastAsia="宋体"/>
                <w:color w:val="000000"/>
                <w:sz w:val="21"/>
                <w:szCs w:val="21"/>
              </w:rPr>
            </w:pPr>
            <w:r>
              <w:rPr>
                <w:rFonts w:eastAsia="宋体"/>
                <w:color w:val="000000"/>
                <w:sz w:val="21"/>
                <w:szCs w:val="21"/>
              </w:rPr>
              <w:t>2.本表的数据为累计数据。</w:t>
            </w:r>
          </w:p>
        </w:tc>
      </w:tr>
    </w:tbl>
    <w:p>
      <w:pPr>
        <w:ind w:firstLine="420" w:firstLineChars="200"/>
        <w:rPr>
          <w:rFonts w:eastAsia="宋体"/>
          <w:color w:val="000000"/>
        </w:rPr>
      </w:pPr>
    </w:p>
    <w:p>
      <w:pPr>
        <w:rPr>
          <w:rFonts w:eastAsia="宋体"/>
          <w:color w:val="000000"/>
          <w:sz w:val="21"/>
          <w:szCs w:val="20"/>
        </w:rPr>
        <w:sectPr>
          <w:footerReference r:id="rId5" w:type="default"/>
          <w:pgSz w:w="16838" w:h="11906" w:orient="landscape"/>
          <w:pgMar w:top="1803" w:right="1440" w:bottom="1803" w:left="1440" w:header="851" w:footer="992" w:gutter="0"/>
          <w:cols w:space="720" w:num="1"/>
          <w:docGrid w:type="lines" w:linePitch="436" w:charSpace="0"/>
        </w:sect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b/>
          <w:sz w:val="32"/>
          <w:szCs w:val="32"/>
        </w:rPr>
      </w:pPr>
    </w:p>
    <w:p>
      <w:pPr>
        <w:rPr>
          <w:rFonts w:ascii="仿宋_GB2312" w:eastAsia="仿宋_GB2312"/>
          <w:sz w:val="32"/>
          <w:szCs w:val="32"/>
        </w:rPr>
      </w:pPr>
    </w:p>
    <w:tbl>
      <w:tblPr>
        <w:tblStyle w:val="13"/>
        <w:tblpPr w:leftFromText="180" w:rightFromText="180" w:vertAnchor="page" w:horzAnchor="page" w:tblpX="1510" w:tblpY="14355"/>
        <w:tblW w:w="889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400" w:lineRule="exact"/>
              <w:ind w:firstLine="140" w:firstLineChars="50"/>
              <w:rPr>
                <w:rFonts w:ascii="仿宋_GB2312" w:eastAsia="仿宋_GB2312" w:cs="仿宋_GB2312"/>
                <w:sz w:val="28"/>
                <w:szCs w:val="28"/>
              </w:rPr>
            </w:pPr>
            <w:r>
              <w:rPr>
                <w:rFonts w:hint="eastAsia" w:ascii="仿宋_GB2312" w:eastAsia="仿宋_GB2312" w:cs="仿宋_GB2312"/>
                <w:sz w:val="28"/>
                <w:szCs w:val="28"/>
              </w:rPr>
              <w:t>丰泽区人民政府泉秀街道办事处</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202</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12</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日印发</w:t>
            </w:r>
          </w:p>
        </w:tc>
      </w:tr>
    </w:tbl>
    <w:p>
      <w:pPr>
        <w:rPr>
          <w:rFonts w:ascii="仿宋_GB2312" w:eastAsia="仿宋_GB2312"/>
          <w:sz w:val="32"/>
          <w:szCs w:val="32"/>
        </w:rPr>
      </w:pPr>
    </w:p>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方正黑体简体"/>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13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pPr>
      <w:pStyle w:val="9"/>
      <w:tabs>
        <w:tab w:val="left" w:pos="142"/>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0C69B"/>
    <w:multiLevelType w:val="singleLevel"/>
    <w:tmpl w:val="F3C0C69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66909"/>
    <w:rsid w:val="00171647"/>
    <w:rsid w:val="001718EB"/>
    <w:rsid w:val="00172A27"/>
    <w:rsid w:val="00181312"/>
    <w:rsid w:val="0018287A"/>
    <w:rsid w:val="0018740E"/>
    <w:rsid w:val="00190615"/>
    <w:rsid w:val="0019231F"/>
    <w:rsid w:val="00197488"/>
    <w:rsid w:val="001A1864"/>
    <w:rsid w:val="001A25C4"/>
    <w:rsid w:val="001A6633"/>
    <w:rsid w:val="001B0729"/>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36EF"/>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4621"/>
    <w:rsid w:val="002F7356"/>
    <w:rsid w:val="00304783"/>
    <w:rsid w:val="00306D4F"/>
    <w:rsid w:val="003119E4"/>
    <w:rsid w:val="00312D11"/>
    <w:rsid w:val="0031551B"/>
    <w:rsid w:val="00317FF6"/>
    <w:rsid w:val="003255F3"/>
    <w:rsid w:val="00327A2D"/>
    <w:rsid w:val="003346FD"/>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B38"/>
    <w:rsid w:val="00410F0C"/>
    <w:rsid w:val="00412570"/>
    <w:rsid w:val="00414F41"/>
    <w:rsid w:val="0042038C"/>
    <w:rsid w:val="00423A17"/>
    <w:rsid w:val="00423ED6"/>
    <w:rsid w:val="004309EB"/>
    <w:rsid w:val="00430F4A"/>
    <w:rsid w:val="004348AD"/>
    <w:rsid w:val="00437118"/>
    <w:rsid w:val="0044058A"/>
    <w:rsid w:val="004439A3"/>
    <w:rsid w:val="004526FF"/>
    <w:rsid w:val="00455189"/>
    <w:rsid w:val="00460000"/>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46BED"/>
    <w:rsid w:val="0055516A"/>
    <w:rsid w:val="0055775C"/>
    <w:rsid w:val="00561752"/>
    <w:rsid w:val="00572124"/>
    <w:rsid w:val="00574CEA"/>
    <w:rsid w:val="005753F5"/>
    <w:rsid w:val="00580E80"/>
    <w:rsid w:val="00587AB8"/>
    <w:rsid w:val="00591002"/>
    <w:rsid w:val="00591DCD"/>
    <w:rsid w:val="005972AA"/>
    <w:rsid w:val="005A04A3"/>
    <w:rsid w:val="005A40A3"/>
    <w:rsid w:val="005A49E2"/>
    <w:rsid w:val="005A643B"/>
    <w:rsid w:val="005C2664"/>
    <w:rsid w:val="005C4C94"/>
    <w:rsid w:val="005D025E"/>
    <w:rsid w:val="005D1117"/>
    <w:rsid w:val="005D357E"/>
    <w:rsid w:val="005E5E4A"/>
    <w:rsid w:val="005F2531"/>
    <w:rsid w:val="006011FA"/>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48C0"/>
    <w:rsid w:val="007E6033"/>
    <w:rsid w:val="007F3E2B"/>
    <w:rsid w:val="007F595E"/>
    <w:rsid w:val="0080239C"/>
    <w:rsid w:val="00814801"/>
    <w:rsid w:val="00820DCF"/>
    <w:rsid w:val="00844945"/>
    <w:rsid w:val="008536E4"/>
    <w:rsid w:val="008538E1"/>
    <w:rsid w:val="00855B6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E3960"/>
    <w:rsid w:val="008E3A34"/>
    <w:rsid w:val="008E4C24"/>
    <w:rsid w:val="008E5E9D"/>
    <w:rsid w:val="008F1C1C"/>
    <w:rsid w:val="008F5F63"/>
    <w:rsid w:val="008F6C02"/>
    <w:rsid w:val="00902010"/>
    <w:rsid w:val="00902B1E"/>
    <w:rsid w:val="00903A44"/>
    <w:rsid w:val="009070D4"/>
    <w:rsid w:val="009071B0"/>
    <w:rsid w:val="0091378F"/>
    <w:rsid w:val="00913A20"/>
    <w:rsid w:val="00915649"/>
    <w:rsid w:val="00915817"/>
    <w:rsid w:val="009309D6"/>
    <w:rsid w:val="00930D92"/>
    <w:rsid w:val="00935940"/>
    <w:rsid w:val="009359D9"/>
    <w:rsid w:val="00943548"/>
    <w:rsid w:val="00944313"/>
    <w:rsid w:val="00946EB3"/>
    <w:rsid w:val="009473C7"/>
    <w:rsid w:val="009476F3"/>
    <w:rsid w:val="00947C15"/>
    <w:rsid w:val="009505EF"/>
    <w:rsid w:val="009539B0"/>
    <w:rsid w:val="00954CD7"/>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4AC2"/>
    <w:rsid w:val="00B46E0B"/>
    <w:rsid w:val="00B52BBF"/>
    <w:rsid w:val="00B55C34"/>
    <w:rsid w:val="00B5702E"/>
    <w:rsid w:val="00B60877"/>
    <w:rsid w:val="00B66A33"/>
    <w:rsid w:val="00B70261"/>
    <w:rsid w:val="00B756F4"/>
    <w:rsid w:val="00B75F52"/>
    <w:rsid w:val="00B77EBF"/>
    <w:rsid w:val="00B81463"/>
    <w:rsid w:val="00B86B12"/>
    <w:rsid w:val="00B9591D"/>
    <w:rsid w:val="00B973E9"/>
    <w:rsid w:val="00BA0E4E"/>
    <w:rsid w:val="00BA45A1"/>
    <w:rsid w:val="00BB776B"/>
    <w:rsid w:val="00BC4B63"/>
    <w:rsid w:val="00BC5D6F"/>
    <w:rsid w:val="00BC7265"/>
    <w:rsid w:val="00BD0F65"/>
    <w:rsid w:val="00BE2A3F"/>
    <w:rsid w:val="00BE5DA4"/>
    <w:rsid w:val="00BE66DF"/>
    <w:rsid w:val="00BE767B"/>
    <w:rsid w:val="00BF2349"/>
    <w:rsid w:val="00BF3573"/>
    <w:rsid w:val="00BF387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74F"/>
    <w:rsid w:val="00CA18D5"/>
    <w:rsid w:val="00CB489F"/>
    <w:rsid w:val="00CB4BF1"/>
    <w:rsid w:val="00CC2D0B"/>
    <w:rsid w:val="00CC5BCC"/>
    <w:rsid w:val="00CC5E65"/>
    <w:rsid w:val="00CD15E2"/>
    <w:rsid w:val="00CD734B"/>
    <w:rsid w:val="00CD7BE4"/>
    <w:rsid w:val="00CE1059"/>
    <w:rsid w:val="00CE29C4"/>
    <w:rsid w:val="00CF1700"/>
    <w:rsid w:val="00CF718A"/>
    <w:rsid w:val="00CF78C4"/>
    <w:rsid w:val="00D073EE"/>
    <w:rsid w:val="00D14E3B"/>
    <w:rsid w:val="00D227FB"/>
    <w:rsid w:val="00D3689F"/>
    <w:rsid w:val="00D44C29"/>
    <w:rsid w:val="00D47055"/>
    <w:rsid w:val="00D53898"/>
    <w:rsid w:val="00D67737"/>
    <w:rsid w:val="00D710D2"/>
    <w:rsid w:val="00D73773"/>
    <w:rsid w:val="00D8581C"/>
    <w:rsid w:val="00D90C5F"/>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73AA"/>
    <w:rsid w:val="00DF7ACC"/>
    <w:rsid w:val="00E04140"/>
    <w:rsid w:val="00E13C72"/>
    <w:rsid w:val="00E2227C"/>
    <w:rsid w:val="00E34759"/>
    <w:rsid w:val="00E42A1C"/>
    <w:rsid w:val="00E45FEF"/>
    <w:rsid w:val="00E55D8C"/>
    <w:rsid w:val="00E55EA6"/>
    <w:rsid w:val="00E5707E"/>
    <w:rsid w:val="00E57222"/>
    <w:rsid w:val="00E631EC"/>
    <w:rsid w:val="00E665E4"/>
    <w:rsid w:val="00E7020E"/>
    <w:rsid w:val="00E77268"/>
    <w:rsid w:val="00E87FE6"/>
    <w:rsid w:val="00E919B5"/>
    <w:rsid w:val="00E946CA"/>
    <w:rsid w:val="00E96A50"/>
    <w:rsid w:val="00EA0366"/>
    <w:rsid w:val="00EA7A3C"/>
    <w:rsid w:val="00EB12AC"/>
    <w:rsid w:val="00EB203F"/>
    <w:rsid w:val="00EB2F78"/>
    <w:rsid w:val="00EB45E7"/>
    <w:rsid w:val="00EC5D45"/>
    <w:rsid w:val="00ED0AE1"/>
    <w:rsid w:val="00EE1907"/>
    <w:rsid w:val="00EE7499"/>
    <w:rsid w:val="00EF21D1"/>
    <w:rsid w:val="00EF5A9D"/>
    <w:rsid w:val="00EF633F"/>
    <w:rsid w:val="00EF6650"/>
    <w:rsid w:val="00F029B5"/>
    <w:rsid w:val="00F032F5"/>
    <w:rsid w:val="00F04B15"/>
    <w:rsid w:val="00F118CD"/>
    <w:rsid w:val="00F16DEC"/>
    <w:rsid w:val="00F212AC"/>
    <w:rsid w:val="00F25ABA"/>
    <w:rsid w:val="00F3028F"/>
    <w:rsid w:val="00F327D8"/>
    <w:rsid w:val="00F421BE"/>
    <w:rsid w:val="00F43631"/>
    <w:rsid w:val="00F52DC2"/>
    <w:rsid w:val="00F537AA"/>
    <w:rsid w:val="00F55452"/>
    <w:rsid w:val="00F556C2"/>
    <w:rsid w:val="00F63706"/>
    <w:rsid w:val="00F63A1A"/>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4936AAF"/>
    <w:rsid w:val="0798318F"/>
    <w:rsid w:val="07B42F31"/>
    <w:rsid w:val="084B3BE4"/>
    <w:rsid w:val="09511A59"/>
    <w:rsid w:val="0AAC10FD"/>
    <w:rsid w:val="0AED4C65"/>
    <w:rsid w:val="0C7F638D"/>
    <w:rsid w:val="0DF04F6A"/>
    <w:rsid w:val="0E456C42"/>
    <w:rsid w:val="0E7D3C55"/>
    <w:rsid w:val="0EC2148A"/>
    <w:rsid w:val="0EFF5127"/>
    <w:rsid w:val="0F6050EE"/>
    <w:rsid w:val="0F61774B"/>
    <w:rsid w:val="12D0036B"/>
    <w:rsid w:val="13935EAB"/>
    <w:rsid w:val="13F73379"/>
    <w:rsid w:val="14F5446D"/>
    <w:rsid w:val="151C33B2"/>
    <w:rsid w:val="1696199B"/>
    <w:rsid w:val="16F419B4"/>
    <w:rsid w:val="17D822CD"/>
    <w:rsid w:val="17DD11E4"/>
    <w:rsid w:val="192839B5"/>
    <w:rsid w:val="1B861841"/>
    <w:rsid w:val="1DCA77EF"/>
    <w:rsid w:val="1F4C6780"/>
    <w:rsid w:val="20D94EF4"/>
    <w:rsid w:val="211F12AE"/>
    <w:rsid w:val="286463E6"/>
    <w:rsid w:val="28E940C9"/>
    <w:rsid w:val="29275693"/>
    <w:rsid w:val="29561734"/>
    <w:rsid w:val="297E3C7F"/>
    <w:rsid w:val="2AD908DC"/>
    <w:rsid w:val="2B0A0276"/>
    <w:rsid w:val="2F3D025D"/>
    <w:rsid w:val="2FC562AC"/>
    <w:rsid w:val="301E74C2"/>
    <w:rsid w:val="3424001A"/>
    <w:rsid w:val="354422EF"/>
    <w:rsid w:val="356928AF"/>
    <w:rsid w:val="35AA54A1"/>
    <w:rsid w:val="38AC7189"/>
    <w:rsid w:val="390B5A5B"/>
    <w:rsid w:val="39175561"/>
    <w:rsid w:val="39805B5B"/>
    <w:rsid w:val="39AA25A3"/>
    <w:rsid w:val="3A6A3A15"/>
    <w:rsid w:val="3CCB3A6D"/>
    <w:rsid w:val="3D7D5EB8"/>
    <w:rsid w:val="3E472C25"/>
    <w:rsid w:val="3E8929CE"/>
    <w:rsid w:val="41B051C0"/>
    <w:rsid w:val="4221770A"/>
    <w:rsid w:val="45E66B3C"/>
    <w:rsid w:val="48A945F9"/>
    <w:rsid w:val="49E0092E"/>
    <w:rsid w:val="4A4A2C39"/>
    <w:rsid w:val="4AE155EA"/>
    <w:rsid w:val="4B552AA6"/>
    <w:rsid w:val="4C201050"/>
    <w:rsid w:val="4C5B0935"/>
    <w:rsid w:val="4C7C31E7"/>
    <w:rsid w:val="4D567B94"/>
    <w:rsid w:val="4FA871BC"/>
    <w:rsid w:val="504925C9"/>
    <w:rsid w:val="50516BA0"/>
    <w:rsid w:val="50CD30D3"/>
    <w:rsid w:val="51F423B3"/>
    <w:rsid w:val="52D576F4"/>
    <w:rsid w:val="533260C8"/>
    <w:rsid w:val="54C93027"/>
    <w:rsid w:val="567B29ED"/>
    <w:rsid w:val="5796443F"/>
    <w:rsid w:val="57CB6E97"/>
    <w:rsid w:val="57CF180D"/>
    <w:rsid w:val="58B968CF"/>
    <w:rsid w:val="5906339C"/>
    <w:rsid w:val="5A6B25A2"/>
    <w:rsid w:val="5AD90D18"/>
    <w:rsid w:val="5BD90343"/>
    <w:rsid w:val="5C1F35AE"/>
    <w:rsid w:val="5D5213D5"/>
    <w:rsid w:val="607138C8"/>
    <w:rsid w:val="614F04EA"/>
    <w:rsid w:val="615573BE"/>
    <w:rsid w:val="627D1498"/>
    <w:rsid w:val="632905BE"/>
    <w:rsid w:val="63921C99"/>
    <w:rsid w:val="654D034B"/>
    <w:rsid w:val="660A2875"/>
    <w:rsid w:val="690454CC"/>
    <w:rsid w:val="69882699"/>
    <w:rsid w:val="69AE3CF0"/>
    <w:rsid w:val="6A736F31"/>
    <w:rsid w:val="6A8A1E2C"/>
    <w:rsid w:val="6BF07722"/>
    <w:rsid w:val="6C662BE4"/>
    <w:rsid w:val="6DA170E8"/>
    <w:rsid w:val="6E4F60A1"/>
    <w:rsid w:val="70A254D7"/>
    <w:rsid w:val="718F6CC7"/>
    <w:rsid w:val="72BE33B9"/>
    <w:rsid w:val="73854316"/>
    <w:rsid w:val="74F72EF3"/>
    <w:rsid w:val="75B92072"/>
    <w:rsid w:val="77876B41"/>
    <w:rsid w:val="77F44B8E"/>
    <w:rsid w:val="78F66FE4"/>
    <w:rsid w:val="7B1227F8"/>
    <w:rsid w:val="7C7953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
    <w:qFormat/>
    <w:locked/>
    <w:uiPriority w:val="0"/>
    <w:pPr>
      <w:jc w:val="center"/>
    </w:pPr>
    <w:rPr>
      <w:rFonts w:eastAsia="仿宋_GB2312"/>
      <w:spacing w:val="-20"/>
      <w:sz w:val="24"/>
      <w:szCs w:val="24"/>
    </w:rPr>
  </w:style>
  <w:style w:type="paragraph" w:styleId="4">
    <w:name w:val="Normal Indent"/>
    <w:basedOn w:val="1"/>
    <w:qFormat/>
    <w:locked/>
    <w:uiPriority w:val="0"/>
    <w:pPr>
      <w:ind w:firstLine="420" w:firstLineChars="200"/>
    </w:pPr>
    <w:rPr>
      <w:szCs w:val="24"/>
    </w:rPr>
  </w:style>
  <w:style w:type="paragraph" w:styleId="5">
    <w:name w:val="Body Text Indent"/>
    <w:basedOn w:val="1"/>
    <w:link w:val="33"/>
    <w:qFormat/>
    <w:locked/>
    <w:uiPriority w:val="0"/>
    <w:pPr>
      <w:ind w:firstLine="640" w:firstLineChars="200"/>
    </w:pPr>
    <w:rPr>
      <w:rFonts w:ascii="仿宋_GB2312" w:eastAsia="仿宋_GB2312"/>
      <w:sz w:val="30"/>
      <w:szCs w:val="24"/>
    </w:rPr>
  </w:style>
  <w:style w:type="paragraph" w:styleId="6">
    <w:name w:val="Plain Text"/>
    <w:basedOn w:val="1"/>
    <w:link w:val="34"/>
    <w:qFormat/>
    <w:locked/>
    <w:uiPriority w:val="0"/>
    <w:rPr>
      <w:rFonts w:ascii="宋体" w:hAnsi="Courier New" w:cs="Courier New"/>
    </w:rPr>
  </w:style>
  <w:style w:type="paragraph" w:styleId="7">
    <w:name w:val="Date"/>
    <w:basedOn w:val="1"/>
    <w:next w:val="1"/>
    <w:link w:val="19"/>
    <w:qFormat/>
    <w:uiPriority w:val="0"/>
    <w:pPr>
      <w:ind w:left="100" w:leftChars="2500"/>
    </w:pPr>
  </w:style>
  <w:style w:type="paragraph" w:styleId="8">
    <w:name w:val="Balloon Text"/>
    <w:basedOn w:val="1"/>
    <w:link w:val="20"/>
    <w:semiHidden/>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qFormat/>
    <w:uiPriority w:val="0"/>
    <w:pPr>
      <w:spacing w:before="100" w:beforeAutospacing="1" w:after="100" w:afterAutospacing="1"/>
      <w:jc w:val="left"/>
    </w:pPr>
    <w:rPr>
      <w:kern w:val="0"/>
      <w:sz w:val="24"/>
      <w:szCs w:val="24"/>
    </w:rPr>
  </w:style>
  <w:style w:type="paragraph" w:styleId="12">
    <w:name w:val="Body Text First Indent"/>
    <w:basedOn w:val="2"/>
    <w:qFormat/>
    <w:locked/>
    <w:uiPriority w:val="0"/>
    <w:pPr>
      <w:spacing w:after="120"/>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cs="Times New Roman"/>
      <w:b/>
      <w:bCs/>
    </w:rPr>
  </w:style>
  <w:style w:type="character" w:styleId="17">
    <w:name w:val="page number"/>
    <w:basedOn w:val="15"/>
    <w:qFormat/>
    <w:uiPriority w:val="0"/>
    <w:rPr>
      <w:rFonts w:cs="Times New Roman"/>
    </w:rPr>
  </w:style>
  <w:style w:type="character" w:styleId="18">
    <w:name w:val="Hyperlink"/>
    <w:basedOn w:val="15"/>
    <w:qFormat/>
    <w:uiPriority w:val="99"/>
    <w:rPr>
      <w:rFonts w:cs="Times New Roman"/>
      <w:color w:val="0000FF"/>
      <w:u w:val="single"/>
    </w:rPr>
  </w:style>
  <w:style w:type="character" w:customStyle="1" w:styleId="19">
    <w:name w:val="日期 Char"/>
    <w:basedOn w:val="15"/>
    <w:link w:val="7"/>
    <w:qFormat/>
    <w:locked/>
    <w:uiPriority w:val="0"/>
    <w:rPr>
      <w:rFonts w:cs="Times New Roman"/>
      <w:kern w:val="2"/>
      <w:sz w:val="24"/>
      <w:szCs w:val="24"/>
    </w:rPr>
  </w:style>
  <w:style w:type="character" w:customStyle="1" w:styleId="20">
    <w:name w:val="批注框文本 Char"/>
    <w:basedOn w:val="15"/>
    <w:link w:val="8"/>
    <w:qFormat/>
    <w:locked/>
    <w:uiPriority w:val="99"/>
    <w:rPr>
      <w:rFonts w:cs="Times New Roman"/>
      <w:kern w:val="2"/>
      <w:sz w:val="18"/>
      <w:szCs w:val="18"/>
    </w:rPr>
  </w:style>
  <w:style w:type="character" w:customStyle="1" w:styleId="21">
    <w:name w:val="页脚 Char"/>
    <w:basedOn w:val="15"/>
    <w:link w:val="9"/>
    <w:qFormat/>
    <w:locked/>
    <w:uiPriority w:val="99"/>
    <w:rPr>
      <w:rFonts w:cs="Times New Roman"/>
      <w:kern w:val="2"/>
      <w:sz w:val="24"/>
      <w:szCs w:val="24"/>
    </w:rPr>
  </w:style>
  <w:style w:type="character" w:customStyle="1" w:styleId="22">
    <w:name w:val="页眉 Char"/>
    <w:basedOn w:val="15"/>
    <w:link w:val="10"/>
    <w:qFormat/>
    <w:locked/>
    <w:uiPriority w:val="0"/>
    <w:rPr>
      <w:rFonts w:cs="Times New Roman"/>
      <w:kern w:val="2"/>
      <w:sz w:val="24"/>
      <w:szCs w:val="24"/>
    </w:rPr>
  </w:style>
  <w:style w:type="paragraph" w:customStyle="1" w:styleId="23">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4">
    <w:name w:val="Char Char Char Char Char Char"/>
    <w:basedOn w:val="1"/>
    <w:qFormat/>
    <w:uiPriority w:val="99"/>
    <w:pPr>
      <w:ind w:left="432" w:hanging="432"/>
    </w:pPr>
    <w:rPr>
      <w:sz w:val="24"/>
      <w:szCs w:val="24"/>
    </w:rPr>
  </w:style>
  <w:style w:type="character" w:customStyle="1" w:styleId="25">
    <w:name w:val="样式 仿宋_GB23121"/>
    <w:basedOn w:val="15"/>
    <w:qFormat/>
    <w:uiPriority w:val="99"/>
    <w:rPr>
      <w:rFonts w:ascii="仿宋_GB2312" w:hAnsi="仿宋_GB2312" w:eastAsia="仿宋_GB2312" w:cs="仿宋_GB2312"/>
      <w:sz w:val="32"/>
      <w:szCs w:val="32"/>
    </w:rPr>
  </w:style>
  <w:style w:type="paragraph" w:customStyle="1" w:styleId="26">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7">
    <w:name w:val="List Paragraph"/>
    <w:basedOn w:val="1"/>
    <w:qFormat/>
    <w:uiPriority w:val="99"/>
    <w:pPr>
      <w:ind w:firstLine="420" w:firstLineChars="200"/>
    </w:pPr>
  </w:style>
  <w:style w:type="paragraph" w:customStyle="1" w:styleId="28">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29">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标题 1 Char"/>
    <w:basedOn w:val="15"/>
    <w:link w:val="3"/>
    <w:qFormat/>
    <w:uiPriority w:val="0"/>
    <w:rPr>
      <w:b/>
      <w:bCs/>
      <w:kern w:val="44"/>
      <w:sz w:val="44"/>
      <w:szCs w:val="44"/>
    </w:rPr>
  </w:style>
  <w:style w:type="character" w:customStyle="1" w:styleId="32">
    <w:name w:val="正文文本 Char"/>
    <w:basedOn w:val="15"/>
    <w:link w:val="2"/>
    <w:qFormat/>
    <w:uiPriority w:val="0"/>
    <w:rPr>
      <w:rFonts w:eastAsia="仿宋_GB2312"/>
      <w:spacing w:val="-20"/>
      <w:kern w:val="2"/>
      <w:sz w:val="24"/>
      <w:szCs w:val="24"/>
    </w:rPr>
  </w:style>
  <w:style w:type="character" w:customStyle="1" w:styleId="33">
    <w:name w:val="正文文本缩进 Char"/>
    <w:basedOn w:val="15"/>
    <w:link w:val="5"/>
    <w:qFormat/>
    <w:uiPriority w:val="0"/>
    <w:rPr>
      <w:rFonts w:ascii="仿宋_GB2312" w:eastAsia="仿宋_GB2312"/>
      <w:kern w:val="2"/>
      <w:sz w:val="30"/>
      <w:szCs w:val="24"/>
    </w:rPr>
  </w:style>
  <w:style w:type="character" w:customStyle="1" w:styleId="34">
    <w:name w:val="纯文本 Char"/>
    <w:basedOn w:val="15"/>
    <w:link w:val="6"/>
    <w:qFormat/>
    <w:uiPriority w:val="0"/>
    <w:rPr>
      <w:rFonts w:ascii="宋体" w:hAnsi="Courier New" w:cs="Courier New"/>
      <w:kern w:val="2"/>
      <w:sz w:val="21"/>
      <w:szCs w:val="21"/>
    </w:rPr>
  </w:style>
  <w:style w:type="paragraph" w:customStyle="1" w:styleId="35">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6">
    <w:name w:val="p0"/>
    <w:basedOn w:val="1"/>
    <w:qFormat/>
    <w:uiPriority w:val="99"/>
    <w:pPr>
      <w:widowControl/>
    </w:pPr>
    <w:rPr>
      <w:rFonts w:ascii="Calibri" w:hAnsi="Calibri" w:cs="宋体"/>
      <w:kern w:val="0"/>
    </w:rPr>
  </w:style>
  <w:style w:type="character" w:customStyle="1" w:styleId="37">
    <w:name w:val="NormalCharacter"/>
    <w:semiHidden/>
    <w:qFormat/>
    <w:uiPriority w:val="0"/>
  </w:style>
  <w:style w:type="paragraph" w:customStyle="1" w:styleId="38">
    <w:name w:val="Body Text First Indent 21"/>
    <w:basedOn w:val="1"/>
    <w:qFormat/>
    <w:uiPriority w:val="0"/>
    <w:pPr>
      <w:spacing w:after="120" w:line="340" w:lineRule="exact"/>
      <w:ind w:left="420" w:leftChars="200" w:right="-139" w:hanging="26" w:hangingChars="26"/>
    </w:pPr>
    <w:rPr>
      <w:rFonts w:ascii="华文中宋" w:hAnsi="华文中宋" w:eastAsia="华文中宋"/>
      <w:sz w:val="24"/>
      <w:szCs w:val="20"/>
    </w:rPr>
  </w:style>
  <w:style w:type="paragraph" w:styleId="39">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0">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A75C3-7A1E-4E95-A710-034FA0818A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545</Words>
  <Characters>575</Characters>
  <Lines>3</Lines>
  <Paragraphs>1</Paragraphs>
  <TotalTime>10</TotalTime>
  <ScaleCrop>false</ScaleCrop>
  <LinksUpToDate>false</LinksUpToDate>
  <CharactersWithSpaces>626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Administrator</cp:lastModifiedBy>
  <cp:lastPrinted>2022-11-17T10:00:00Z</cp:lastPrinted>
  <dcterms:modified xsi:type="dcterms:W3CDTF">2022-12-02T10:16:26Z</dcterms:modified>
  <dc:title>泉丰泉工委〔2013〕 号</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F05233A718644A37B4D6AEBCB72CE1A5</vt:lpwstr>
  </property>
</Properties>
</file>